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351" w:type="dxa"/>
        <w:tblInd w:w="-108" w:type="dxa"/>
        <w:tblLayout w:type="autofit"/>
        <w:tblCellMar>
          <w:top w:w="15" w:type="dxa"/>
          <w:left w:w="108" w:type="dxa"/>
          <w:bottom w:w="0" w:type="dxa"/>
          <w:right w:w="115" w:type="dxa"/>
        </w:tblCellMar>
      </w:tblPr>
      <w:tblGrid>
        <w:gridCol w:w="2385"/>
        <w:gridCol w:w="6966"/>
      </w:tblGrid>
      <w:tr w14:paraId="3907CF5B">
        <w:tblPrEx>
          <w:tblCellMar>
            <w:top w:w="15" w:type="dxa"/>
            <w:left w:w="108" w:type="dxa"/>
            <w:bottom w:w="0" w:type="dxa"/>
            <w:right w:w="115" w:type="dxa"/>
          </w:tblCellMar>
        </w:tblPrEx>
        <w:trPr>
          <w:trHeight w:val="911" w:hRule="atLeast"/>
        </w:trPr>
        <w:tc>
          <w:tcPr>
            <w:tcW w:w="9351" w:type="dxa"/>
            <w:gridSpan w:val="2"/>
            <w:tcBorders>
              <w:top w:val="single" w:color="000000" w:sz="4" w:space="0"/>
              <w:left w:val="single" w:color="000000" w:sz="4" w:space="0"/>
              <w:bottom w:val="single" w:color="000000" w:sz="4" w:space="0"/>
              <w:right w:val="single" w:color="000000" w:sz="4" w:space="0"/>
            </w:tcBorders>
          </w:tcPr>
          <w:p w14:paraId="313428A3">
            <w:pPr>
              <w:spacing w:after="0" w:line="276" w:lineRule="auto"/>
              <w:ind w:left="0"/>
              <w:rPr>
                <w:sz w:val="24"/>
                <w:lang w:val="en-US"/>
              </w:rPr>
            </w:pPr>
            <w:bookmarkStart w:id="0" w:name="_GoBack"/>
            <w:r>
              <w:rPr>
                <w:sz w:val="24"/>
                <w:lang w:val="en-US"/>
              </w:rPr>
              <w:t>Online Resource Hub for Chinese International Adoptees Returning to China</w:t>
            </w:r>
            <w:bookmarkEnd w:id="0"/>
          </w:p>
        </w:tc>
      </w:tr>
      <w:tr w14:paraId="6AD277C2">
        <w:tblPrEx>
          <w:tblCellMar>
            <w:top w:w="15" w:type="dxa"/>
            <w:left w:w="108" w:type="dxa"/>
            <w:bottom w:w="0" w:type="dxa"/>
            <w:right w:w="115" w:type="dxa"/>
          </w:tblCellMar>
        </w:tblPrEx>
        <w:trPr>
          <w:trHeight w:val="627" w:hRule="atLeast"/>
        </w:trPr>
        <w:tc>
          <w:tcPr>
            <w:tcW w:w="2385" w:type="dxa"/>
            <w:tcBorders>
              <w:top w:val="single" w:color="000000" w:sz="4" w:space="0"/>
              <w:left w:val="single" w:color="000000" w:sz="4" w:space="0"/>
              <w:bottom w:val="single" w:color="000000" w:sz="4" w:space="0"/>
              <w:right w:val="single" w:color="000000" w:sz="4" w:space="0"/>
            </w:tcBorders>
          </w:tcPr>
          <w:p w14:paraId="7BAA9D3D">
            <w:pPr>
              <w:spacing w:after="0" w:line="276" w:lineRule="auto"/>
              <w:ind w:left="0"/>
              <w:rPr>
                <w:b w:val="0"/>
                <w:bCs/>
                <w:sz w:val="24"/>
              </w:rPr>
            </w:pPr>
            <w:r>
              <w:rPr>
                <w:sz w:val="24"/>
              </w:rPr>
              <w:t>Faculty Name:</w:t>
            </w:r>
          </w:p>
        </w:tc>
        <w:tc>
          <w:tcPr>
            <w:tcW w:w="6966" w:type="dxa"/>
            <w:tcBorders>
              <w:top w:val="single" w:color="000000" w:sz="4" w:space="0"/>
              <w:left w:val="single" w:color="000000" w:sz="4" w:space="0"/>
              <w:bottom w:val="single" w:color="000000" w:sz="4" w:space="0"/>
              <w:right w:val="single" w:color="000000" w:sz="4" w:space="0"/>
            </w:tcBorders>
          </w:tcPr>
          <w:p w14:paraId="5B5F1C6D">
            <w:pPr>
              <w:spacing w:after="0" w:line="276" w:lineRule="auto"/>
              <w:ind w:left="1"/>
              <w:rPr>
                <w:b w:val="0"/>
                <w:bCs/>
                <w:sz w:val="24"/>
              </w:rPr>
            </w:pPr>
            <w:r>
              <w:rPr>
                <w:b w:val="0"/>
                <w:bCs/>
                <w:sz w:val="24"/>
              </w:rPr>
              <w:t>Yuechi Kelly</w:t>
            </w:r>
          </w:p>
        </w:tc>
      </w:tr>
      <w:tr w14:paraId="3FB6F16F">
        <w:tblPrEx>
          <w:tblCellMar>
            <w:top w:w="15" w:type="dxa"/>
            <w:left w:w="108" w:type="dxa"/>
            <w:bottom w:w="0" w:type="dxa"/>
            <w:right w:w="115" w:type="dxa"/>
          </w:tblCellMar>
        </w:tblPrEx>
        <w:trPr>
          <w:trHeight w:val="578" w:hRule="atLeast"/>
        </w:trPr>
        <w:tc>
          <w:tcPr>
            <w:tcW w:w="2385" w:type="dxa"/>
            <w:tcBorders>
              <w:top w:val="single" w:color="000000" w:sz="4" w:space="0"/>
              <w:left w:val="single" w:color="000000" w:sz="4" w:space="0"/>
              <w:bottom w:val="single" w:color="000000" w:sz="4" w:space="0"/>
              <w:right w:val="single" w:color="000000" w:sz="4" w:space="0"/>
            </w:tcBorders>
          </w:tcPr>
          <w:p w14:paraId="2749387A">
            <w:pPr>
              <w:spacing w:after="0" w:line="276" w:lineRule="auto"/>
              <w:ind w:left="0"/>
              <w:rPr>
                <w:b w:val="0"/>
                <w:bCs/>
                <w:sz w:val="24"/>
              </w:rPr>
            </w:pPr>
            <w:r>
              <w:rPr>
                <w:sz w:val="24"/>
              </w:rPr>
              <w:t>Faculty Email:</w:t>
            </w:r>
          </w:p>
        </w:tc>
        <w:tc>
          <w:tcPr>
            <w:tcW w:w="6966" w:type="dxa"/>
            <w:tcBorders>
              <w:top w:val="single" w:color="000000" w:sz="4" w:space="0"/>
              <w:left w:val="single" w:color="000000" w:sz="4" w:space="0"/>
              <w:bottom w:val="single" w:color="000000" w:sz="4" w:space="0"/>
              <w:right w:val="single" w:color="000000" w:sz="4" w:space="0"/>
            </w:tcBorders>
          </w:tcPr>
          <w:p w14:paraId="3F08627B">
            <w:pPr>
              <w:pStyle w:val="2"/>
              <w:spacing w:line="276" w:lineRule="auto"/>
              <w:rPr>
                <w:bCs/>
                <w:lang w:val="en-US"/>
              </w:rPr>
            </w:pPr>
            <w:r>
              <w:rPr>
                <w:bCs/>
                <w:lang w:val="en-US"/>
              </w:rPr>
              <w:t>m.kelly@dukekunshan.edu.cn</w:t>
            </w:r>
          </w:p>
        </w:tc>
      </w:tr>
      <w:tr w14:paraId="027CB092">
        <w:tblPrEx>
          <w:tblCellMar>
            <w:top w:w="15" w:type="dxa"/>
            <w:left w:w="108" w:type="dxa"/>
            <w:bottom w:w="0" w:type="dxa"/>
            <w:right w:w="115" w:type="dxa"/>
          </w:tblCellMar>
        </w:tblPrEx>
        <w:trPr>
          <w:trHeight w:val="657" w:hRule="atLeast"/>
        </w:trPr>
        <w:tc>
          <w:tcPr>
            <w:tcW w:w="2385" w:type="dxa"/>
            <w:tcBorders>
              <w:top w:val="single" w:color="000000" w:sz="4" w:space="0"/>
              <w:left w:val="single" w:color="000000" w:sz="4" w:space="0"/>
              <w:bottom w:val="single" w:color="000000" w:sz="4" w:space="0"/>
              <w:right w:val="single" w:color="000000" w:sz="4" w:space="0"/>
            </w:tcBorders>
          </w:tcPr>
          <w:p w14:paraId="6859069D">
            <w:pPr>
              <w:spacing w:after="0" w:line="276" w:lineRule="auto"/>
              <w:ind w:left="0"/>
              <w:rPr>
                <w:b w:val="0"/>
                <w:bCs/>
                <w:sz w:val="24"/>
              </w:rPr>
            </w:pPr>
            <w:r>
              <w:rPr>
                <w:sz w:val="24"/>
              </w:rPr>
              <w:t>Research Field:</w:t>
            </w:r>
          </w:p>
        </w:tc>
        <w:tc>
          <w:tcPr>
            <w:tcW w:w="6966" w:type="dxa"/>
            <w:tcBorders>
              <w:top w:val="single" w:color="000000" w:sz="4" w:space="0"/>
              <w:left w:val="single" w:color="000000" w:sz="4" w:space="0"/>
              <w:bottom w:val="single" w:color="000000" w:sz="4" w:space="0"/>
              <w:right w:val="single" w:color="000000" w:sz="4" w:space="0"/>
            </w:tcBorders>
          </w:tcPr>
          <w:p w14:paraId="3A5FA654">
            <w:pPr>
              <w:spacing w:after="0" w:line="276" w:lineRule="auto"/>
              <w:ind w:left="1"/>
              <w:rPr>
                <w:b w:val="0"/>
                <w:bCs/>
                <w:sz w:val="24"/>
                <w:lang w:val="en-US"/>
              </w:rPr>
            </w:pPr>
            <w:r>
              <w:rPr>
                <w:b w:val="0"/>
                <w:bCs/>
                <w:sz w:val="24"/>
                <w:lang w:val="en-US"/>
              </w:rPr>
              <w:t>Community Based Research and Critical Adoption Studies</w:t>
            </w:r>
          </w:p>
        </w:tc>
      </w:tr>
      <w:tr w14:paraId="718BD82C">
        <w:tblPrEx>
          <w:tblCellMar>
            <w:top w:w="15" w:type="dxa"/>
            <w:left w:w="108" w:type="dxa"/>
            <w:bottom w:w="0" w:type="dxa"/>
            <w:right w:w="115" w:type="dxa"/>
          </w:tblCellMar>
        </w:tblPrEx>
        <w:trPr>
          <w:trHeight w:val="1251" w:hRule="atLeast"/>
        </w:trPr>
        <w:tc>
          <w:tcPr>
            <w:tcW w:w="9351" w:type="dxa"/>
            <w:gridSpan w:val="2"/>
            <w:tcBorders>
              <w:top w:val="single" w:color="000000" w:sz="4" w:space="0"/>
              <w:left w:val="single" w:color="000000" w:sz="4" w:space="0"/>
              <w:bottom w:val="single" w:color="000000" w:sz="4" w:space="0"/>
              <w:right w:val="single" w:color="000000" w:sz="4" w:space="0"/>
            </w:tcBorders>
          </w:tcPr>
          <w:p w14:paraId="048E9288">
            <w:pPr>
              <w:spacing w:after="0" w:line="276" w:lineRule="auto"/>
              <w:ind w:left="0"/>
              <w:rPr>
                <w:sz w:val="24"/>
                <w:lang w:val="en-US"/>
              </w:rPr>
            </w:pPr>
            <w:r>
              <w:rPr>
                <w:sz w:val="24"/>
                <w:lang w:val="en-US"/>
              </w:rPr>
              <w:t>Brief Description</w:t>
            </w:r>
          </w:p>
          <w:p w14:paraId="6C981571">
            <w:pPr>
              <w:spacing w:after="0" w:line="276" w:lineRule="auto"/>
              <w:ind w:left="0"/>
              <w:rPr>
                <w:sz w:val="24"/>
                <w:lang w:val="en-US"/>
              </w:rPr>
            </w:pPr>
          </w:p>
          <w:p w14:paraId="217B7D12">
            <w:pPr>
              <w:spacing w:after="0" w:line="276" w:lineRule="auto"/>
              <w:ind w:left="0"/>
              <w:rPr>
                <w:b w:val="0"/>
                <w:bCs/>
                <w:sz w:val="24"/>
                <w:lang w:val="en-US"/>
              </w:rPr>
            </w:pPr>
            <w:r>
              <w:rPr>
                <w:b w:val="0"/>
                <w:bCs/>
                <w:sz w:val="24"/>
                <w:lang w:val="en-US"/>
              </w:rPr>
              <w:t>This project involves the creation of various online resources that can help Chinese international adoptees transition smoothly to life in China. While several community organizations exist internationally to support Chinese adoptee wellbeing, none of these organizations are based in China. Moreover, such an online resource hub has yet to be created. Therefore, Chinese international adoptees who return to China are often left without clear support systems, leaving them to confront significant linguistic, cultural and logistical barriers on their own. This is particularly concerning when their desire to return to China is remarkably high. Survey data from a recent Chinese international adoptee conference suggest that over 90% of respondents who had not yet returned to China hope to visit someday. This aligns with academic literature that describes the desire for birth country return among international adoptees, including waves of Korean international adoptees who returned to Korea around the same age as the majority of today's Chinese international adoptees. Recognizing the unique context of DKU, a Sino-foreign joint venture university, this project proposes to draw upon the expertise of diverse team members, all of whom have experience living in China, to create reliable, relevant resources that support Chinese international adoptees in navigating modern-day China and in connecting with their Chinese roots. This project aims to employ design thinking strategies and prototype testing with Chinese adoptee users in order to foster innovation and meet community needs.</w:t>
            </w:r>
          </w:p>
          <w:p w14:paraId="1979D277">
            <w:pPr>
              <w:spacing w:after="0" w:line="276" w:lineRule="auto"/>
              <w:ind w:left="0"/>
              <w:rPr>
                <w:b w:val="0"/>
                <w:bCs/>
                <w:sz w:val="24"/>
                <w:lang w:val="en-US"/>
              </w:rPr>
            </w:pPr>
            <w:r>
              <w:rPr>
                <w:b w:val="0"/>
                <w:bCs/>
                <w:sz w:val="24"/>
                <w:lang w:val="en-US"/>
              </w:rPr>
              <w:t xml:space="preserve"> </w:t>
            </w:r>
          </w:p>
        </w:tc>
      </w:tr>
      <w:tr w14:paraId="1085FB4C">
        <w:tblPrEx>
          <w:tblCellMar>
            <w:top w:w="15" w:type="dxa"/>
            <w:left w:w="108" w:type="dxa"/>
            <w:bottom w:w="0" w:type="dxa"/>
            <w:right w:w="115" w:type="dxa"/>
          </w:tblCellMar>
        </w:tblPrEx>
        <w:trPr>
          <w:trHeight w:val="1251" w:hRule="atLeast"/>
        </w:trPr>
        <w:tc>
          <w:tcPr>
            <w:tcW w:w="9351" w:type="dxa"/>
            <w:gridSpan w:val="2"/>
            <w:tcBorders>
              <w:top w:val="single" w:color="000000" w:sz="4" w:space="0"/>
              <w:left w:val="single" w:color="000000" w:sz="4" w:space="0"/>
              <w:bottom w:val="single" w:color="000000" w:sz="4" w:space="0"/>
              <w:right w:val="single" w:color="000000" w:sz="4" w:space="0"/>
            </w:tcBorders>
          </w:tcPr>
          <w:p w14:paraId="1CF111FD">
            <w:pPr>
              <w:spacing w:after="0" w:line="276" w:lineRule="auto"/>
              <w:ind w:left="0"/>
              <w:rPr>
                <w:sz w:val="24"/>
                <w:lang w:val="en-US"/>
              </w:rPr>
            </w:pPr>
            <w:r>
              <w:rPr>
                <w:sz w:val="24"/>
                <w:lang w:val="en-US"/>
              </w:rPr>
              <w:t xml:space="preserve">Expected outcome(s) </w:t>
            </w:r>
          </w:p>
          <w:p w14:paraId="59B4EDDE">
            <w:pPr>
              <w:spacing w:after="0" w:line="276" w:lineRule="auto"/>
              <w:ind w:left="0"/>
              <w:rPr>
                <w:sz w:val="24"/>
                <w:lang w:val="en-US"/>
              </w:rPr>
            </w:pPr>
          </w:p>
          <w:p w14:paraId="627A7FCE">
            <w:pPr>
              <w:spacing w:line="276" w:lineRule="auto"/>
              <w:ind w:left="0"/>
              <w:rPr>
                <w:b w:val="0"/>
                <w:bCs/>
                <w:sz w:val="24"/>
                <w:lang w:val="en-US"/>
              </w:rPr>
            </w:pPr>
            <w:r>
              <w:rPr>
                <w:b w:val="0"/>
                <w:bCs/>
                <w:sz w:val="24"/>
                <w:lang w:val="en-US"/>
              </w:rPr>
              <w:t>It is expected that prototypes of various resources benefitting Chinese international adoptees seeking to return to China will be created and housed on a public-facing website following prototype testing. Such resources may include travel guides, multimedia materials on Chinese traditional culture, and Chinese/ English dictionaries tailored to content about mental health, adoption, and contemporary Chinese youth culture.</w:t>
            </w:r>
          </w:p>
        </w:tc>
      </w:tr>
    </w:tbl>
    <w:p w14:paraId="1E707C18">
      <w:pPr>
        <w:ind w:left="0"/>
        <w:rPr>
          <w:lang w:val="en-US"/>
        </w:rPr>
      </w:pPr>
    </w:p>
    <w:p w14:paraId="2DB67232"/>
    <w:sectPr>
      <w:pgSz w:w="12240" w:h="15840"/>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6F71CD"/>
    <w:rsid w:val="0F6F71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418" w:line="259" w:lineRule="auto"/>
      <w:ind w:left="2510"/>
    </w:pPr>
    <w:rPr>
      <w:rFonts w:ascii="Times New Roman" w:hAnsi="Times New Roman" w:eastAsia="Times New Roman" w:cs="Times New Roman"/>
      <w:b/>
      <w:color w:val="000000"/>
      <w:kern w:val="2"/>
      <w:sz w:val="36"/>
      <w:szCs w:val="24"/>
      <w:lang w:val="zh-CN" w:eastAsia="zh-CN" w:bidi="ar-SA"/>
      <w14:ligatures w14:val="standardContextual"/>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nhideWhenUsed/>
    <w:qFormat/>
    <w:uiPriority w:val="99"/>
    <w:pPr>
      <w:spacing w:before="100" w:beforeAutospacing="1" w:after="100" w:afterAutospacing="1" w:line="240" w:lineRule="auto"/>
      <w:ind w:left="0"/>
    </w:pPr>
    <w:rPr>
      <w:b w:val="0"/>
      <w:color w:val="auto"/>
      <w:kern w:val="0"/>
      <w:sz w:val="24"/>
      <w14:ligatures w14:val="none"/>
    </w:rPr>
  </w:style>
  <w:style w:type="table" w:customStyle="1" w:styleId="5">
    <w:name w:val="TableGri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2026-09-22T08:13:00Z</dcterms:created>
  <dc:creator>Alice</dc:creator>
  <cp:lastModifiedBy>Alice</cp:lastModifiedBy>
  <dcterms:modified xsi:type="dcterms:W3CDTF">2026-09-22T08:14:07Z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BB05A91B493A43F891395BCC363E6D5E_11</vt:lpwstr>
  </property>
  <property fmtid="{D5CDD505-2E9C-101B-9397-08002B2CF9AE}" pid="4" name="KSOTemplateDocerSaveRecord">
    <vt:lpwstr>eyJoZGlkIjoiOTEyNmRhZDE4MDIxZjg1ODk1ZTNkNTI4MTg0NWY5NDkiLCJ1c2VySWQiOiIzMjA4MTIwMiJ9</vt:lpwstr>
  </property>
</Properties>
</file>