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FA5E99">
      <w:r>
        <w:t>Faculty Project Information</w:t>
      </w:r>
    </w:p>
    <w:tbl>
      <w:tblPr>
        <w:tblStyle w:val="8"/>
        <w:tblW w:w="9351" w:type="dxa"/>
        <w:tblInd w:w="-108" w:type="dxa"/>
        <w:tblLayout w:type="autofit"/>
        <w:tblCellMar>
          <w:top w:w="15" w:type="dxa"/>
          <w:left w:w="108" w:type="dxa"/>
          <w:bottom w:w="0" w:type="dxa"/>
          <w:right w:w="115" w:type="dxa"/>
        </w:tblCellMar>
      </w:tblPr>
      <w:tblGrid>
        <w:gridCol w:w="2385"/>
        <w:gridCol w:w="6966"/>
      </w:tblGrid>
      <w:tr w14:paraId="75FDD330">
        <w:tblPrEx>
          <w:tblCellMar>
            <w:top w:w="15" w:type="dxa"/>
            <w:left w:w="108" w:type="dxa"/>
            <w:bottom w:w="0" w:type="dxa"/>
            <w:right w:w="115" w:type="dxa"/>
          </w:tblCellMar>
        </w:tblPrEx>
        <w:trPr>
          <w:trHeight w:val="1666" w:hRule="atLeast"/>
        </w:trPr>
        <w:tc>
          <w:tcPr>
            <w:tcW w:w="9351" w:type="dxa"/>
            <w:gridSpan w:val="2"/>
            <w:tcBorders>
              <w:top w:val="single" w:color="000000" w:sz="4" w:space="0"/>
              <w:left w:val="single" w:color="000000" w:sz="4" w:space="0"/>
              <w:bottom w:val="single" w:color="000000" w:sz="4" w:space="0"/>
              <w:right w:val="single" w:color="000000" w:sz="4" w:space="0"/>
            </w:tcBorders>
          </w:tcPr>
          <w:p w14:paraId="50931409">
            <w:pPr>
              <w:spacing w:after="0" w:line="276" w:lineRule="auto"/>
              <w:ind w:left="0"/>
              <w:rPr>
                <w:sz w:val="24"/>
              </w:rPr>
            </w:pPr>
          </w:p>
          <w:p w14:paraId="47D26A09">
            <w:pPr>
              <w:spacing w:after="0" w:line="276" w:lineRule="auto"/>
              <w:ind w:left="0"/>
              <w:rPr>
                <w:sz w:val="24"/>
              </w:rPr>
            </w:pPr>
            <w:bookmarkStart w:id="0" w:name="_GoBack"/>
            <w:r>
              <w:rPr>
                <w:sz w:val="24"/>
                <w:lang w:val="en-US" w:eastAsia="zh-CN"/>
              </w:rPr>
              <w:t xml:space="preserve">Local Heritage in Motion: A Culturally Aware Agentic Living Atlas </w:t>
            </w:r>
          </w:p>
          <w:p w14:paraId="7D43ADED">
            <w:pPr>
              <w:spacing w:after="0" w:line="276" w:lineRule="auto"/>
              <w:ind w:left="0"/>
              <w:rPr>
                <w:sz w:val="24"/>
              </w:rPr>
            </w:pPr>
            <w:r>
              <w:rPr>
                <w:rFonts w:hint="default"/>
                <w:sz w:val="24"/>
                <w:lang w:val="en-US" w:eastAsia="zh-CN"/>
              </w:rPr>
              <w:t>for Global Commons</w:t>
            </w:r>
          </w:p>
          <w:bookmarkEnd w:id="0"/>
          <w:p w14:paraId="013C00F8">
            <w:pPr>
              <w:spacing w:after="0" w:line="276" w:lineRule="auto"/>
              <w:ind w:left="0"/>
              <w:rPr>
                <w:sz w:val="24"/>
              </w:rPr>
            </w:pPr>
          </w:p>
        </w:tc>
      </w:tr>
      <w:tr w14:paraId="697F97A5">
        <w:tblPrEx>
          <w:tblCellMar>
            <w:top w:w="15" w:type="dxa"/>
            <w:left w:w="108" w:type="dxa"/>
            <w:bottom w:w="0" w:type="dxa"/>
            <w:right w:w="115" w:type="dxa"/>
          </w:tblCellMar>
        </w:tblPrEx>
        <w:trPr>
          <w:trHeight w:val="627" w:hRule="atLeast"/>
        </w:trPr>
        <w:tc>
          <w:tcPr>
            <w:tcW w:w="2385" w:type="dxa"/>
            <w:tcBorders>
              <w:top w:val="single" w:color="000000" w:sz="4" w:space="0"/>
              <w:left w:val="single" w:color="000000" w:sz="4" w:space="0"/>
              <w:bottom w:val="single" w:color="000000" w:sz="4" w:space="0"/>
              <w:right w:val="single" w:color="000000" w:sz="4" w:space="0"/>
            </w:tcBorders>
          </w:tcPr>
          <w:p w14:paraId="259BDDA0">
            <w:pPr>
              <w:spacing w:after="0" w:line="276" w:lineRule="auto"/>
              <w:ind w:left="0"/>
              <w:rPr>
                <w:sz w:val="24"/>
              </w:rPr>
            </w:pPr>
            <w:r>
              <w:rPr>
                <w:b w:val="0"/>
                <w:sz w:val="24"/>
              </w:rPr>
              <w:t>Faculty Name:</w:t>
            </w:r>
          </w:p>
        </w:tc>
        <w:tc>
          <w:tcPr>
            <w:tcW w:w="6966" w:type="dxa"/>
            <w:tcBorders>
              <w:top w:val="single" w:color="000000" w:sz="4" w:space="0"/>
              <w:left w:val="single" w:color="000000" w:sz="4" w:space="0"/>
              <w:bottom w:val="single" w:color="000000" w:sz="4" w:space="0"/>
              <w:right w:val="single" w:color="000000" w:sz="4" w:space="0"/>
            </w:tcBorders>
          </w:tcPr>
          <w:p w14:paraId="67921013">
            <w:pPr>
              <w:spacing w:after="0" w:line="276" w:lineRule="auto"/>
              <w:ind w:left="1"/>
              <w:rPr>
                <w:sz w:val="24"/>
              </w:rPr>
            </w:pPr>
            <w:r>
              <w:rPr>
                <w:b w:val="0"/>
                <w:sz w:val="24"/>
              </w:rPr>
              <w:t xml:space="preserve">Prof Luyao Zhang, Ph.D. </w:t>
            </w:r>
          </w:p>
        </w:tc>
      </w:tr>
      <w:tr w14:paraId="4694A1E2">
        <w:tblPrEx>
          <w:tblCellMar>
            <w:top w:w="15" w:type="dxa"/>
            <w:left w:w="108" w:type="dxa"/>
            <w:bottom w:w="0" w:type="dxa"/>
            <w:right w:w="115" w:type="dxa"/>
          </w:tblCellMar>
        </w:tblPrEx>
        <w:trPr>
          <w:trHeight w:val="578" w:hRule="atLeast"/>
        </w:trPr>
        <w:tc>
          <w:tcPr>
            <w:tcW w:w="2385" w:type="dxa"/>
            <w:tcBorders>
              <w:top w:val="single" w:color="000000" w:sz="4" w:space="0"/>
              <w:left w:val="single" w:color="000000" w:sz="4" w:space="0"/>
              <w:bottom w:val="single" w:color="000000" w:sz="4" w:space="0"/>
              <w:right w:val="single" w:color="000000" w:sz="4" w:space="0"/>
            </w:tcBorders>
          </w:tcPr>
          <w:p w14:paraId="5EE9809D">
            <w:pPr>
              <w:spacing w:after="0" w:line="276" w:lineRule="auto"/>
              <w:ind w:left="0"/>
              <w:rPr>
                <w:sz w:val="24"/>
              </w:rPr>
            </w:pPr>
            <w:r>
              <w:rPr>
                <w:b w:val="0"/>
                <w:sz w:val="24"/>
              </w:rPr>
              <w:t>Faculty Email:</w:t>
            </w:r>
          </w:p>
        </w:tc>
        <w:tc>
          <w:tcPr>
            <w:tcW w:w="6966" w:type="dxa"/>
            <w:tcBorders>
              <w:top w:val="single" w:color="000000" w:sz="4" w:space="0"/>
              <w:left w:val="single" w:color="000000" w:sz="4" w:space="0"/>
              <w:bottom w:val="single" w:color="000000" w:sz="4" w:space="0"/>
              <w:right w:val="single" w:color="000000" w:sz="4" w:space="0"/>
            </w:tcBorders>
          </w:tcPr>
          <w:p w14:paraId="3EF7E18D">
            <w:pPr>
              <w:pStyle w:val="4"/>
              <w:spacing w:line="276" w:lineRule="auto"/>
            </w:pPr>
            <w:r>
              <w:fldChar w:fldCharType="begin"/>
            </w:r>
            <w:r>
              <w:instrText xml:space="preserve">HYPERLINK "mailto: luyao.zhang@dukekunshan.edu.cn "</w:instrText>
            </w:r>
            <w:r>
              <w:fldChar w:fldCharType="separate"/>
            </w:r>
            <w:r>
              <w:rPr>
                <w:rStyle w:val="7"/>
              </w:rPr>
              <w:t xml:space="preserve"> luyao.zhang@dukekunshan.edu.cn </w:t>
            </w:r>
            <w:r>
              <w:fldChar w:fldCharType="end"/>
            </w:r>
          </w:p>
        </w:tc>
      </w:tr>
      <w:tr w14:paraId="0BD497E6">
        <w:tblPrEx>
          <w:tblCellMar>
            <w:top w:w="15" w:type="dxa"/>
            <w:left w:w="108" w:type="dxa"/>
            <w:bottom w:w="0" w:type="dxa"/>
            <w:right w:w="115" w:type="dxa"/>
          </w:tblCellMar>
        </w:tblPrEx>
        <w:trPr>
          <w:trHeight w:val="657" w:hRule="atLeast"/>
        </w:trPr>
        <w:tc>
          <w:tcPr>
            <w:tcW w:w="2385" w:type="dxa"/>
            <w:tcBorders>
              <w:top w:val="single" w:color="000000" w:sz="4" w:space="0"/>
              <w:left w:val="single" w:color="000000" w:sz="4" w:space="0"/>
              <w:bottom w:val="single" w:color="000000" w:sz="4" w:space="0"/>
              <w:right w:val="single" w:color="000000" w:sz="4" w:space="0"/>
            </w:tcBorders>
          </w:tcPr>
          <w:p w14:paraId="4F1335C4">
            <w:pPr>
              <w:spacing w:after="0" w:line="276" w:lineRule="auto"/>
              <w:ind w:left="0"/>
              <w:rPr>
                <w:sz w:val="24"/>
              </w:rPr>
            </w:pPr>
            <w:r>
              <w:rPr>
                <w:b w:val="0"/>
                <w:sz w:val="24"/>
              </w:rPr>
              <w:t>Research Field:</w:t>
            </w:r>
          </w:p>
        </w:tc>
        <w:tc>
          <w:tcPr>
            <w:tcW w:w="6966" w:type="dxa"/>
            <w:tcBorders>
              <w:top w:val="single" w:color="000000" w:sz="4" w:space="0"/>
              <w:left w:val="single" w:color="000000" w:sz="4" w:space="0"/>
              <w:bottom w:val="single" w:color="000000" w:sz="4" w:space="0"/>
              <w:right w:val="single" w:color="000000" w:sz="4" w:space="0"/>
            </w:tcBorders>
          </w:tcPr>
          <w:p w14:paraId="2F0271CD">
            <w:pPr>
              <w:spacing w:after="0" w:line="276" w:lineRule="auto"/>
              <w:ind w:left="1"/>
              <w:rPr>
                <w:sz w:val="24"/>
              </w:rPr>
            </w:pPr>
            <w:r>
              <w:rPr>
                <w:b w:val="0"/>
                <w:sz w:val="24"/>
              </w:rPr>
              <w:t>Computational and Economic Sciences; Trustworthy Mechanism Design; Embodied Artificial Intelligence; Environmental-Responsibility Accounting; Sustainable Global Supply Chains; Responsible AI; Digital Humanities; Culturally Aware Agentic Systems; Open Science and Community Data Governance; Human-Centered Spatiotemporal Intelligence; Global Commons; Sustainable Local Economies and Global Mobility;</w:t>
            </w:r>
          </w:p>
        </w:tc>
      </w:tr>
      <w:tr w14:paraId="0F065255">
        <w:tblPrEx>
          <w:tblCellMar>
            <w:top w:w="15" w:type="dxa"/>
            <w:left w:w="108" w:type="dxa"/>
            <w:bottom w:w="0" w:type="dxa"/>
            <w:right w:w="115" w:type="dxa"/>
          </w:tblCellMar>
        </w:tblPrEx>
        <w:trPr>
          <w:trHeight w:val="2952" w:hRule="atLeast"/>
        </w:trPr>
        <w:tc>
          <w:tcPr>
            <w:tcW w:w="9351" w:type="dxa"/>
            <w:gridSpan w:val="2"/>
            <w:tcBorders>
              <w:top w:val="single" w:color="000000" w:sz="4" w:space="0"/>
              <w:left w:val="single" w:color="000000" w:sz="4" w:space="0"/>
              <w:bottom w:val="single" w:color="000000" w:sz="4" w:space="0"/>
              <w:right w:val="single" w:color="000000" w:sz="4" w:space="0"/>
            </w:tcBorders>
          </w:tcPr>
          <w:p w14:paraId="0770DE4D">
            <w:pPr>
              <w:spacing w:after="0" w:line="276" w:lineRule="auto"/>
              <w:ind w:left="0"/>
              <w:rPr>
                <w:sz w:val="24"/>
              </w:rPr>
            </w:pPr>
            <w:r>
              <w:rPr>
                <w:sz w:val="24"/>
              </w:rPr>
              <w:t>Brief Description</w:t>
            </w:r>
          </w:p>
          <w:p w14:paraId="385D8C63">
            <w:pPr>
              <w:spacing w:after="0" w:line="276" w:lineRule="auto"/>
              <w:ind w:left="0"/>
              <w:rPr>
                <w:b w:val="0"/>
                <w:bCs/>
                <w:sz w:val="24"/>
              </w:rPr>
            </w:pPr>
          </w:p>
          <w:p w14:paraId="7E6CD93D">
            <w:pPr>
              <w:spacing w:after="0" w:line="276" w:lineRule="auto"/>
              <w:ind w:left="0" w:firstLine="709"/>
              <w:rPr>
                <w:b w:val="0"/>
                <w:bCs/>
                <w:sz w:val="24"/>
              </w:rPr>
            </w:pPr>
            <w:r>
              <w:rPr>
                <w:b w:val="0"/>
                <w:bCs/>
                <w:sz w:val="24"/>
                <w:lang w:val="en-US" w:eastAsia="zh-CN"/>
              </w:rPr>
              <w:t xml:space="preserve">Local heritage is rooted in particular places, communities, and </w:t>
            </w:r>
            <w:r>
              <w:rPr>
                <w:rFonts w:hint="eastAsia"/>
                <w:b w:val="0"/>
                <w:bCs/>
                <w:sz w:val="24"/>
                <w:lang w:val="en-US" w:eastAsia="zh-CN"/>
              </w:rPr>
              <w:t xml:space="preserve"> </w:t>
            </w:r>
            <w:r>
              <w:rPr>
                <w:rFonts w:hint="default"/>
                <w:b w:val="0"/>
                <w:bCs/>
                <w:sz w:val="24"/>
                <w:lang w:val="en-US" w:eastAsia="zh-CN"/>
              </w:rPr>
              <w:t xml:space="preserve">memories, but it can also enter a global conversation. Multilingual communication, data visualization, interactive media, and agentic technologies can help local communities share their culture with world travelers, international students, researchers, artists, entrepreneurs, digital nomads, and other global citizens. However, many existing cultural and tourism platforms are designed primarily to increase visibility, visitor traffic, or consumption. They do not always preserve cultural context, protect community authority over knowledge, or ensure that global attention creates sustainable value for local residents. </w:t>
            </w:r>
          </w:p>
          <w:p w14:paraId="32D04C95">
            <w:pPr>
              <w:spacing w:after="0" w:line="276" w:lineRule="auto"/>
              <w:ind w:left="0" w:firstLine="709"/>
              <w:rPr>
                <w:b w:val="0"/>
                <w:bCs/>
                <w:sz w:val="24"/>
              </w:rPr>
            </w:pPr>
            <w:r>
              <w:rPr>
                <w:rFonts w:hint="default"/>
                <w:b w:val="0"/>
                <w:bCs/>
                <w:sz w:val="24"/>
                <w:lang w:val="en-US" w:eastAsia="zh-CN"/>
              </w:rPr>
              <w:t xml:space="preserve">Globally mobile participants may bring language skills, professional expertise, creative ideas, and international networks, but increased mobility may also create pressures on public space, local resources, housing, infrastructure, and cultural integrity. </w:t>
            </w:r>
          </w:p>
          <w:p w14:paraId="73D38FCF">
            <w:pPr>
              <w:spacing w:after="0" w:line="276" w:lineRule="auto"/>
              <w:ind w:left="0" w:firstLine="709"/>
              <w:rPr>
                <w:b w:val="0"/>
                <w:bCs/>
                <w:sz w:val="24"/>
              </w:rPr>
            </w:pPr>
            <w:r>
              <w:rPr>
                <w:rFonts w:hint="default"/>
                <w:b w:val="0"/>
                <w:bCs/>
                <w:sz w:val="24"/>
                <w:lang w:val="en-US" w:eastAsia="zh-CN"/>
              </w:rPr>
              <w:t>This project asks: How can a culturally aware agentic living atlas help a local</w:t>
            </w:r>
            <w:r>
              <w:rPr>
                <w:rFonts w:hint="eastAsia"/>
                <w:b w:val="0"/>
                <w:bCs/>
                <w:sz w:val="24"/>
                <w:lang w:val="en-US" w:eastAsia="zh-CN"/>
              </w:rPr>
              <w:t xml:space="preserve"> </w:t>
            </w:r>
            <w:r>
              <w:rPr>
                <w:rFonts w:hint="default"/>
                <w:b w:val="0"/>
                <w:bCs/>
                <w:sz w:val="24"/>
                <w:lang w:val="en-US" w:eastAsia="zh-CN"/>
              </w:rPr>
              <w:t xml:space="preserve">community communicate its heritage truthfully, govern its data responsibly, and invite global citizens and digital nomads to become informed contributors to a sustainable local economic </w:t>
            </w:r>
          </w:p>
          <w:p w14:paraId="22C2E78D">
            <w:pPr>
              <w:spacing w:after="0" w:line="276" w:lineRule="auto"/>
              <w:ind w:left="0" w:leftChars="0" w:firstLine="0" w:firstLineChars="0"/>
              <w:rPr>
                <w:b w:val="0"/>
                <w:bCs/>
                <w:sz w:val="24"/>
              </w:rPr>
            </w:pPr>
            <w:r>
              <w:rPr>
                <w:rFonts w:hint="default"/>
                <w:b w:val="0"/>
                <w:bCs/>
                <w:sz w:val="24"/>
                <w:lang w:val="en-US" w:eastAsia="zh-CN"/>
              </w:rPr>
              <w:t xml:space="preserve">ecosystem? </w:t>
            </w:r>
          </w:p>
          <w:p w14:paraId="7509F502">
            <w:pPr>
              <w:spacing w:after="0" w:line="276" w:lineRule="auto"/>
              <w:ind w:left="0" w:firstLine="709"/>
              <w:rPr>
                <w:b w:val="0"/>
                <w:bCs/>
                <w:sz w:val="24"/>
              </w:rPr>
            </w:pPr>
            <w:r>
              <w:rPr>
                <w:rFonts w:hint="default"/>
                <w:b w:val="0"/>
                <w:bCs/>
                <w:sz w:val="24"/>
                <w:lang w:val="en-US" w:eastAsia="zh-CN"/>
              </w:rPr>
              <w:t xml:space="preserve">Students will work with one clearly bounded museum, cultural institution, heritage community, neighborhood, or public-interest organization in Kunshan. They will combine qualitative and quantitative evidence-including maps, timelines, images, oral </w:t>
            </w:r>
          </w:p>
          <w:p w14:paraId="3316E52A">
            <w:pPr>
              <w:spacing w:after="0" w:line="276" w:lineRule="auto"/>
              <w:ind w:left="0" w:firstLine="709"/>
              <w:rPr>
                <w:b w:val="0"/>
                <w:bCs/>
                <w:sz w:val="24"/>
              </w:rPr>
            </w:pPr>
            <w:r>
              <w:rPr>
                <w:rFonts w:hint="default"/>
                <w:b w:val="0"/>
                <w:bCs/>
                <w:sz w:val="24"/>
                <w:lang w:val="en-US" w:eastAsia="zh-CN"/>
              </w:rPr>
              <w:t xml:space="preserve">histories, community narratives, cultural records, and spatial and temporal data-to create a multilingual, provenance-aware cultural collection. </w:t>
            </w:r>
          </w:p>
          <w:p w14:paraId="7A869B45">
            <w:pPr>
              <w:spacing w:after="0" w:line="276" w:lineRule="auto"/>
              <w:ind w:left="0" w:firstLine="709"/>
              <w:rPr>
                <w:b w:val="0"/>
                <w:bCs/>
                <w:sz w:val="24"/>
              </w:rPr>
            </w:pPr>
            <w:r>
              <w:rPr>
                <w:rFonts w:hint="default"/>
                <w:b w:val="0"/>
                <w:bCs/>
                <w:sz w:val="24"/>
                <w:lang w:val="en-US" w:eastAsia="zh-CN"/>
              </w:rPr>
              <w:t xml:space="preserve">The central Minimum Viable Product will be a functional Culturally Aware Agentic Living Atlas for one local community. A living atlas is not a static map: it is an interactive and evolving visual knowledge system through which users can explore how people, places, cultural practices, environments, and community memories are connected and change over time. </w:t>
            </w:r>
          </w:p>
          <w:p w14:paraId="737D87E4">
            <w:pPr>
              <w:spacing w:after="0" w:line="276" w:lineRule="auto"/>
              <w:ind w:left="0" w:leftChars="0" w:firstLine="0" w:firstLineChars="0"/>
              <w:rPr>
                <w:b w:val="0"/>
                <w:bCs/>
                <w:sz w:val="24"/>
              </w:rPr>
            </w:pPr>
            <w:r>
              <w:rPr>
                <w:rFonts w:hint="default"/>
                <w:b w:val="0"/>
                <w:bCs/>
                <w:sz w:val="24"/>
                <w:lang w:val="en-US" w:eastAsia="zh-CN"/>
              </w:rPr>
              <w:t xml:space="preserve">The atlas may include: </w:t>
            </w:r>
          </w:p>
          <w:p w14:paraId="4EB34B86">
            <w:pPr>
              <w:spacing w:after="0" w:line="276" w:lineRule="auto"/>
              <w:ind w:left="0" w:firstLine="709"/>
              <w:rPr>
                <w:b w:val="0"/>
                <w:bCs/>
                <w:sz w:val="24"/>
              </w:rPr>
            </w:pPr>
            <w:r>
              <w:rPr>
                <w:rFonts w:hint="default"/>
                <w:b w:val="0"/>
                <w:bCs/>
                <w:sz w:val="24"/>
                <w:lang w:val="en-US" w:eastAsia="zh-CN"/>
              </w:rPr>
              <w:t xml:space="preserve">• multilingual maps, timelines, relationship networks, stories, </w:t>
            </w:r>
          </w:p>
          <w:p w14:paraId="202C5A62">
            <w:pPr>
              <w:spacing w:after="0" w:line="276" w:lineRule="auto"/>
              <w:ind w:left="0" w:firstLine="709"/>
              <w:rPr>
                <w:b w:val="0"/>
                <w:bCs/>
                <w:sz w:val="24"/>
              </w:rPr>
            </w:pPr>
            <w:r>
              <w:rPr>
                <w:rFonts w:hint="default"/>
                <w:b w:val="0"/>
                <w:bCs/>
                <w:sz w:val="24"/>
                <w:lang w:val="en-US" w:eastAsia="zh-CN"/>
              </w:rPr>
              <w:t xml:space="preserve">images, audio, video, and cultural archives; </w:t>
            </w:r>
          </w:p>
          <w:p w14:paraId="1B1F73FB">
            <w:pPr>
              <w:spacing w:after="0" w:line="276" w:lineRule="auto"/>
              <w:ind w:left="0" w:firstLine="709"/>
              <w:rPr>
                <w:b w:val="0"/>
                <w:bCs/>
                <w:sz w:val="24"/>
              </w:rPr>
            </w:pPr>
            <w:r>
              <w:rPr>
                <w:rFonts w:hint="default"/>
                <w:b w:val="0"/>
                <w:bCs/>
                <w:sz w:val="24"/>
                <w:lang w:val="en-US" w:eastAsia="zh-CN"/>
              </w:rPr>
              <w:t xml:space="preserve">• transparent sources, provenance, permissions, uncertainty, and </w:t>
            </w:r>
          </w:p>
          <w:p w14:paraId="5D7C977E">
            <w:pPr>
              <w:spacing w:after="0" w:line="276" w:lineRule="auto"/>
              <w:ind w:left="0" w:firstLine="709"/>
              <w:rPr>
                <w:b w:val="0"/>
                <w:bCs/>
                <w:sz w:val="24"/>
              </w:rPr>
            </w:pPr>
            <w:r>
              <w:rPr>
                <w:rFonts w:hint="default"/>
                <w:b w:val="0"/>
                <w:bCs/>
                <w:sz w:val="24"/>
                <w:lang w:val="en-US" w:eastAsia="zh-CN"/>
              </w:rPr>
              <w:t xml:space="preserve">version history; </w:t>
            </w:r>
          </w:p>
          <w:p w14:paraId="5F4D6172">
            <w:pPr>
              <w:spacing w:after="0" w:line="276" w:lineRule="auto"/>
              <w:ind w:left="0" w:firstLine="709"/>
              <w:rPr>
                <w:b w:val="0"/>
                <w:bCs/>
                <w:sz w:val="24"/>
              </w:rPr>
            </w:pPr>
            <w:r>
              <w:rPr>
                <w:rFonts w:hint="default"/>
                <w:b w:val="0"/>
                <w:bCs/>
                <w:sz w:val="24"/>
                <w:lang w:val="en-US" w:eastAsia="zh-CN"/>
              </w:rPr>
              <w:t xml:space="preserve">• community-reviewed interpretation and pathways for correction </w:t>
            </w:r>
          </w:p>
          <w:p w14:paraId="0270FD9E">
            <w:pPr>
              <w:spacing w:after="0" w:line="276" w:lineRule="auto"/>
              <w:ind w:left="0" w:firstLine="709"/>
              <w:rPr>
                <w:b w:val="0"/>
                <w:bCs/>
                <w:sz w:val="24"/>
              </w:rPr>
            </w:pPr>
            <w:r>
              <w:rPr>
                <w:rFonts w:hint="default"/>
                <w:b w:val="0"/>
                <w:bCs/>
                <w:sz w:val="24"/>
                <w:lang w:val="en-US" w:eastAsia="zh-CN"/>
              </w:rPr>
              <w:t xml:space="preserve">or withdrawal; </w:t>
            </w:r>
          </w:p>
          <w:p w14:paraId="035813D4">
            <w:pPr>
              <w:spacing w:after="0" w:line="276" w:lineRule="auto"/>
              <w:ind w:left="0" w:firstLine="709"/>
              <w:rPr>
                <w:b w:val="0"/>
                <w:bCs/>
                <w:sz w:val="24"/>
              </w:rPr>
            </w:pPr>
            <w:r>
              <w:rPr>
                <w:rFonts w:hint="default"/>
                <w:b w:val="0"/>
                <w:bCs/>
                <w:sz w:val="24"/>
                <w:lang w:val="en-US" w:eastAsia="zh-CN"/>
              </w:rPr>
              <w:t xml:space="preserve">• agentic guidance for cultural exploration, translation, source </w:t>
            </w:r>
          </w:p>
          <w:p w14:paraId="2BEF5883">
            <w:pPr>
              <w:spacing w:after="0" w:line="276" w:lineRule="auto"/>
              <w:ind w:left="0" w:firstLine="709"/>
              <w:rPr>
                <w:b w:val="0"/>
                <w:bCs/>
                <w:sz w:val="24"/>
              </w:rPr>
            </w:pPr>
            <w:r>
              <w:rPr>
                <w:rFonts w:hint="default"/>
                <w:b w:val="0"/>
                <w:bCs/>
                <w:sz w:val="24"/>
                <w:lang w:val="en-US" w:eastAsia="zh-CN"/>
              </w:rPr>
              <w:t xml:space="preserve">checking, and personalized learning; </w:t>
            </w:r>
          </w:p>
          <w:p w14:paraId="4E684BE8">
            <w:pPr>
              <w:spacing w:after="0" w:line="276" w:lineRule="auto"/>
              <w:ind w:left="0" w:firstLine="709"/>
              <w:rPr>
                <w:b w:val="0"/>
                <w:bCs/>
                <w:sz w:val="24"/>
              </w:rPr>
            </w:pPr>
            <w:r>
              <w:rPr>
                <w:rFonts w:hint="default"/>
                <w:b w:val="0"/>
                <w:bCs/>
                <w:sz w:val="24"/>
                <w:lang w:val="en-US" w:eastAsia="zh-CN"/>
              </w:rPr>
              <w:t xml:space="preserve">• community-defined opportunities through which global citizensand digital nomads can contribute skills, knowledge, networks, or creative work; </w:t>
            </w:r>
          </w:p>
          <w:p w14:paraId="4A4C5805">
            <w:pPr>
              <w:spacing w:after="0" w:line="276" w:lineRule="auto"/>
              <w:ind w:left="0" w:firstLine="709"/>
              <w:rPr>
                <w:b w:val="0"/>
                <w:bCs/>
                <w:sz w:val="24"/>
              </w:rPr>
            </w:pPr>
            <w:r>
              <w:rPr>
                <w:rFonts w:hint="default"/>
                <w:b w:val="0"/>
                <w:bCs/>
                <w:sz w:val="24"/>
                <w:lang w:val="en-US" w:eastAsia="zh-CN"/>
              </w:rPr>
              <w:t xml:space="preserve">• interactive feedback and contribution pathways connecting visitors with real local needs. </w:t>
            </w:r>
          </w:p>
          <w:p w14:paraId="445EA4A2">
            <w:pPr>
              <w:spacing w:after="0" w:line="276" w:lineRule="auto"/>
              <w:ind w:left="0" w:leftChars="0" w:firstLine="720" w:firstLineChars="300"/>
              <w:rPr>
                <w:b w:val="0"/>
                <w:bCs/>
                <w:sz w:val="24"/>
              </w:rPr>
            </w:pPr>
            <w:r>
              <w:rPr>
                <w:rFonts w:hint="default"/>
                <w:b w:val="0"/>
                <w:bCs/>
                <w:sz w:val="24"/>
                <w:lang w:val="en-US" w:eastAsia="zh-CN"/>
              </w:rPr>
              <w:t>Agentic functions will assist exploration and collaboration without replacing human judgment or community authority. Local partners will retain control over cultural meaning, permissions, sensitive materials, correction, and responsible reuse. Students will compare at least three approaches to matching, reviewing, recognizing, or sharing the benefits of global</w:t>
            </w:r>
            <w:r>
              <w:rPr>
                <w:rFonts w:hint="eastAsia"/>
                <w:b w:val="0"/>
                <w:bCs/>
                <w:sz w:val="24"/>
                <w:lang w:val="en-US" w:eastAsia="zh-CN"/>
              </w:rPr>
              <w:t xml:space="preserve"> </w:t>
            </w:r>
            <w:r>
              <w:rPr>
                <w:rFonts w:hint="default"/>
                <w:b w:val="0"/>
                <w:bCs/>
                <w:sz w:val="24"/>
                <w:lang w:val="en-US" w:eastAsia="zh-CN"/>
              </w:rPr>
              <w:t>contributions-for example, skill-based matching, community-priority matching, participatory review, verified contribution, or benefit-sharing arrangements. They will examine how these approaches affect inclusion, contribution quality,</w:t>
            </w:r>
            <w:r>
              <w:rPr>
                <w:rFonts w:hint="eastAsia"/>
                <w:b w:val="0"/>
                <w:bCs/>
                <w:sz w:val="24"/>
                <w:lang w:val="en-US" w:eastAsia="zh-CN"/>
              </w:rPr>
              <w:t xml:space="preserve"> </w:t>
            </w:r>
            <w:r>
              <w:rPr>
                <w:rFonts w:hint="default"/>
                <w:b w:val="0"/>
                <w:bCs/>
                <w:sz w:val="24"/>
                <w:lang w:val="en-US" w:eastAsia="zh-CN"/>
              </w:rPr>
              <w:t xml:space="preserve">cultural integrity, community workload, strategic behavior, local value, and continued engagement after a visitor leaves. </w:t>
            </w:r>
          </w:p>
          <w:p w14:paraId="170A35F3">
            <w:pPr>
              <w:spacing w:after="0" w:line="276" w:lineRule="auto"/>
              <w:ind w:left="0" w:firstLine="709"/>
              <w:rPr>
                <w:b w:val="0"/>
                <w:bCs/>
                <w:sz w:val="24"/>
              </w:rPr>
            </w:pPr>
            <w:r>
              <w:rPr>
                <w:rFonts w:hint="default"/>
                <w:b w:val="0"/>
                <w:bCs/>
                <w:sz w:val="24"/>
                <w:lang w:val="en-US" w:eastAsia="zh-CN"/>
              </w:rPr>
              <w:t xml:space="preserve">The intended pathway is: </w:t>
            </w:r>
          </w:p>
          <w:p w14:paraId="43F923ED">
            <w:pPr>
              <w:spacing w:after="0" w:line="276" w:lineRule="auto"/>
              <w:ind w:left="0" w:firstLine="709"/>
              <w:rPr>
                <w:b w:val="0"/>
                <w:bCs/>
                <w:sz w:val="24"/>
              </w:rPr>
            </w:pPr>
            <w:r>
              <w:rPr>
                <w:rFonts w:hint="default"/>
                <w:b w:val="0"/>
                <w:bCs/>
                <w:sz w:val="24"/>
                <w:lang w:val="en-US" w:eastAsia="zh-CN"/>
              </w:rPr>
              <w:t xml:space="preserve">Visitor → Learner → Contributor → Trusted Collaborator </w:t>
            </w:r>
          </w:p>
          <w:p w14:paraId="2B5B52EA">
            <w:pPr>
              <w:spacing w:after="0" w:line="276" w:lineRule="auto"/>
              <w:ind w:left="0" w:leftChars="0" w:firstLine="720" w:firstLineChars="300"/>
              <w:rPr>
                <w:b w:val="0"/>
                <w:bCs/>
                <w:sz w:val="24"/>
              </w:rPr>
            </w:pPr>
            <w:r>
              <w:rPr>
                <w:rFonts w:hint="default"/>
                <w:b w:val="0"/>
                <w:bCs/>
                <w:sz w:val="24"/>
                <w:lang w:val="en-US" w:eastAsia="zh-CN"/>
              </w:rPr>
              <w:t xml:space="preserve">The project therefore moves beyond promoting tourism. It asks how informed global visitors can become responsible participants in a local intelligent and sustainable economic ecosystem, bringing knowledge, care, creativity, and enduring collaboration rather than attention and consumption alone. </w:t>
            </w:r>
          </w:p>
          <w:p w14:paraId="10AF6CBB">
            <w:pPr>
              <w:spacing w:after="0" w:line="276" w:lineRule="auto"/>
              <w:ind w:left="0" w:leftChars="0" w:firstLine="0" w:firstLineChars="0"/>
              <w:rPr>
                <w:b w:val="0"/>
                <w:bCs/>
                <w:sz w:val="24"/>
              </w:rPr>
            </w:pPr>
            <w:r>
              <w:rPr>
                <w:rFonts w:hint="default"/>
                <w:b w:val="0"/>
                <w:bCs/>
                <w:sz w:val="24"/>
                <w:lang w:val="en-US" w:eastAsia="zh-CN"/>
              </w:rPr>
              <w:t xml:space="preserve">The project integrates three interdisciplinary frontiers: </w:t>
            </w:r>
          </w:p>
          <w:p w14:paraId="7FB1CFC8">
            <w:pPr>
              <w:spacing w:after="0" w:line="276" w:lineRule="auto"/>
              <w:ind w:left="0" w:firstLine="709"/>
              <w:rPr>
                <w:b w:val="0"/>
                <w:bCs/>
                <w:sz w:val="24"/>
              </w:rPr>
            </w:pPr>
            <w:r>
              <w:rPr>
                <w:rFonts w:hint="default"/>
                <w:b w:val="0"/>
                <w:bCs/>
                <w:sz w:val="24"/>
                <w:lang w:val="en-US" w:eastAsia="zh-CN"/>
              </w:rPr>
              <w:t xml:space="preserve">• Open Science, Data Governance, and Responsible Agentic Systems, by documenting data sources, permissions, AI-assisted workflows, uncertainty, and community rights; </w:t>
            </w:r>
          </w:p>
          <w:p w14:paraId="5C3E9615">
            <w:pPr>
              <w:spacing w:after="0" w:line="276" w:lineRule="auto"/>
              <w:ind w:left="0" w:firstLine="709"/>
              <w:rPr>
                <w:b w:val="0"/>
                <w:bCs/>
                <w:sz w:val="24"/>
              </w:rPr>
            </w:pPr>
            <w:r>
              <w:rPr>
                <w:rFonts w:hint="default"/>
                <w:b w:val="0"/>
                <w:bCs/>
                <w:sz w:val="24"/>
                <w:lang w:val="en-US" w:eastAsia="zh-CN"/>
              </w:rPr>
              <w:t xml:space="preserve">• Scientific Communication for Emerging Technologies, by transforming complex cultural, technological, and social questions into truthful, accessible, and compelling interactive narratives; </w:t>
            </w:r>
          </w:p>
          <w:p w14:paraId="79E8DB67">
            <w:pPr>
              <w:spacing w:after="0" w:line="276" w:lineRule="auto"/>
              <w:ind w:left="0" w:firstLine="709"/>
              <w:rPr>
                <w:b w:val="0"/>
                <w:bCs/>
                <w:sz w:val="24"/>
              </w:rPr>
            </w:pPr>
            <w:r>
              <w:rPr>
                <w:rFonts w:hint="default"/>
                <w:b w:val="0"/>
                <w:bCs/>
                <w:sz w:val="24"/>
                <w:lang w:val="en-US" w:eastAsia="zh-CN"/>
              </w:rPr>
              <w:t xml:space="preserve">• Human-Centered Spatiotemporal Intelligence, by using spatial, temporal, cultural, environmental, and human-context evidence to communicate how places and communities evolve. The initial pilot will remain grounded in one feasible Kunshan partnership. Its documented design may later be adapted for museums, heritage routes, cultural communities, and officially designated World Heritage sites seeking to communicate with global audiences while preserving local stewardship. </w:t>
            </w:r>
          </w:p>
          <w:p w14:paraId="506445D3">
            <w:pPr>
              <w:spacing w:after="0" w:line="276" w:lineRule="auto"/>
              <w:ind w:left="0" w:firstLine="709"/>
              <w:rPr>
                <w:b w:val="0"/>
                <w:bCs/>
                <w:sz w:val="24"/>
              </w:rPr>
            </w:pPr>
            <w:r>
              <w:rPr>
                <w:rFonts w:hint="default"/>
                <w:b w:val="0"/>
                <w:bCs/>
                <w:sz w:val="24"/>
                <w:lang w:val="en-US" w:eastAsia="zh-CN"/>
              </w:rPr>
              <w:t>The project will incubate students as scientists, entrepreneurs, and philanthropists: conducting interdisciplinary research for international dissemination; transforming the atlas into a responsible public-interest or startup demonstration; and returning knowledge to society through an open website,community exhibition, stakeholder workshop, tutorial, and</w:t>
            </w:r>
            <w:r>
              <w:rPr>
                <w:rFonts w:hint="eastAsia"/>
                <w:b w:val="0"/>
                <w:bCs/>
                <w:sz w:val="24"/>
                <w:lang w:val="en-US" w:eastAsia="zh-CN"/>
              </w:rPr>
              <w:t xml:space="preserve"> </w:t>
            </w:r>
            <w:r>
              <w:rPr>
                <w:rFonts w:hint="default"/>
                <w:b w:val="0"/>
                <w:bCs/>
                <w:sz w:val="24"/>
                <w:lang w:val="en-US" w:eastAsia="zh-CN"/>
              </w:rPr>
              <w:t xml:space="preserve">multimedia educational resources. </w:t>
            </w:r>
          </w:p>
          <w:p w14:paraId="76D9A612">
            <w:pPr>
              <w:spacing w:after="0" w:line="276" w:lineRule="auto"/>
              <w:ind w:left="0" w:firstLine="709"/>
              <w:rPr>
                <w:b w:val="0"/>
                <w:bCs/>
                <w:sz w:val="24"/>
              </w:rPr>
            </w:pPr>
            <w:r>
              <w:rPr>
                <w:rFonts w:hint="default"/>
                <w:b w:val="0"/>
                <w:bCs/>
                <w:sz w:val="24"/>
                <w:lang w:val="en-US" w:eastAsia="zh-CN"/>
              </w:rPr>
              <w:t xml:space="preserve">The project will make substantive contributions to: </w:t>
            </w:r>
          </w:p>
          <w:p w14:paraId="1CF97A08">
            <w:pPr>
              <w:spacing w:after="0" w:line="276" w:lineRule="auto"/>
              <w:ind w:left="0" w:firstLine="709"/>
              <w:rPr>
                <w:b w:val="0"/>
                <w:bCs/>
                <w:sz w:val="24"/>
              </w:rPr>
            </w:pPr>
            <w:r>
              <w:rPr>
                <w:rFonts w:hint="default"/>
                <w:b w:val="0"/>
                <w:bCs/>
                <w:sz w:val="24"/>
                <w:lang w:val="en-US" w:eastAsia="zh-CN"/>
              </w:rPr>
              <w:t xml:space="preserve">• SDG 8 - Decent Work and Economic Growth, by exploring </w:t>
            </w:r>
          </w:p>
          <w:p w14:paraId="56617288">
            <w:pPr>
              <w:spacing w:after="0" w:line="276" w:lineRule="auto"/>
              <w:ind w:left="0" w:firstLine="709"/>
              <w:rPr>
                <w:b w:val="0"/>
                <w:bCs/>
                <w:sz w:val="24"/>
              </w:rPr>
            </w:pPr>
            <w:r>
              <w:rPr>
                <w:rFonts w:hint="default"/>
                <w:b w:val="0"/>
                <w:bCs/>
                <w:sz w:val="24"/>
                <w:lang w:val="en-US" w:eastAsia="zh-CN"/>
              </w:rPr>
              <w:t xml:space="preserve">responsible cultural entrepreneurship and meaningful </w:t>
            </w:r>
          </w:p>
          <w:p w14:paraId="7F41343A">
            <w:pPr>
              <w:spacing w:after="0" w:line="276" w:lineRule="auto"/>
              <w:ind w:left="0" w:firstLine="709"/>
              <w:rPr>
                <w:b w:val="0"/>
                <w:bCs/>
                <w:sz w:val="24"/>
              </w:rPr>
            </w:pPr>
            <w:r>
              <w:rPr>
                <w:rFonts w:hint="default"/>
                <w:b w:val="0"/>
                <w:bCs/>
                <w:sz w:val="24"/>
                <w:lang w:val="en-US" w:eastAsia="zh-CN"/>
              </w:rPr>
              <w:t xml:space="preserve">contributions from globally mobile talent; </w:t>
            </w:r>
          </w:p>
          <w:p w14:paraId="0EA201E4">
            <w:pPr>
              <w:spacing w:after="0" w:line="276" w:lineRule="auto"/>
              <w:ind w:left="0" w:firstLine="709"/>
              <w:rPr>
                <w:b w:val="0"/>
                <w:bCs/>
                <w:sz w:val="24"/>
              </w:rPr>
            </w:pPr>
            <w:r>
              <w:rPr>
                <w:rFonts w:hint="default"/>
                <w:b w:val="0"/>
                <w:bCs/>
                <w:sz w:val="24"/>
                <w:lang w:val="en-US" w:eastAsia="zh-CN"/>
              </w:rPr>
              <w:t xml:space="preserve">• SDG 11 - Sustainable Cities and Communities, by strengthening </w:t>
            </w:r>
          </w:p>
          <w:p w14:paraId="4E30AF85">
            <w:pPr>
              <w:spacing w:after="0" w:line="276" w:lineRule="auto"/>
              <w:ind w:left="0" w:firstLine="709"/>
              <w:rPr>
                <w:b w:val="0"/>
                <w:bCs/>
                <w:sz w:val="24"/>
              </w:rPr>
            </w:pPr>
            <w:r>
              <w:rPr>
                <w:rFonts w:hint="default"/>
                <w:b w:val="0"/>
                <w:bCs/>
                <w:sz w:val="24"/>
                <w:lang w:val="en-US" w:eastAsia="zh-CN"/>
              </w:rPr>
              <w:t xml:space="preserve">local heritage, community agency, cultural continuity, and </w:t>
            </w:r>
          </w:p>
          <w:p w14:paraId="79400BD4">
            <w:pPr>
              <w:spacing w:after="0" w:line="276" w:lineRule="auto"/>
              <w:ind w:left="0" w:firstLine="709"/>
              <w:rPr>
                <w:b w:val="0"/>
                <w:bCs/>
                <w:sz w:val="24"/>
              </w:rPr>
            </w:pPr>
            <w:r>
              <w:rPr>
                <w:rFonts w:hint="default"/>
                <w:b w:val="0"/>
                <w:bCs/>
                <w:sz w:val="24"/>
                <w:lang w:val="en-US" w:eastAsia="zh-CN"/>
              </w:rPr>
              <w:t xml:space="preserve">sustainable visitor engagement; </w:t>
            </w:r>
          </w:p>
          <w:p w14:paraId="4C95BA78">
            <w:pPr>
              <w:spacing w:after="0" w:line="276" w:lineRule="auto"/>
              <w:ind w:left="0" w:firstLine="709"/>
              <w:rPr>
                <w:b w:val="0"/>
                <w:bCs/>
                <w:sz w:val="24"/>
              </w:rPr>
            </w:pPr>
            <w:r>
              <w:rPr>
                <w:rFonts w:hint="default"/>
                <w:b w:val="0"/>
                <w:bCs/>
                <w:sz w:val="24"/>
                <w:lang w:val="en-US" w:eastAsia="zh-CN"/>
              </w:rPr>
              <w:t xml:space="preserve">• SDG 16 - Peace, Justice and Strong Institutions, by developing </w:t>
            </w:r>
          </w:p>
          <w:p w14:paraId="13B8176A">
            <w:pPr>
              <w:spacing w:after="0" w:line="276" w:lineRule="auto"/>
              <w:ind w:left="0" w:firstLine="709"/>
              <w:rPr>
                <w:b w:val="0"/>
                <w:bCs/>
                <w:sz w:val="24"/>
              </w:rPr>
            </w:pPr>
            <w:r>
              <w:rPr>
                <w:rFonts w:hint="default"/>
                <w:b w:val="0"/>
                <w:bCs/>
                <w:sz w:val="24"/>
                <w:lang w:val="en-US" w:eastAsia="zh-CN"/>
              </w:rPr>
              <w:t xml:space="preserve">transparent, participatory, and accountable governance for </w:t>
            </w:r>
          </w:p>
          <w:p w14:paraId="3ED89A1A">
            <w:pPr>
              <w:spacing w:after="0" w:line="276" w:lineRule="auto"/>
              <w:ind w:left="0" w:firstLine="709"/>
              <w:rPr>
                <w:b w:val="0"/>
                <w:bCs/>
                <w:sz w:val="24"/>
              </w:rPr>
            </w:pPr>
            <w:r>
              <w:rPr>
                <w:rFonts w:hint="default"/>
                <w:b w:val="0"/>
                <w:bCs/>
                <w:sz w:val="24"/>
                <w:lang w:val="en-US" w:eastAsia="zh-CN"/>
              </w:rPr>
              <w:t xml:space="preserve">cultural data and agentic representation; </w:t>
            </w:r>
          </w:p>
          <w:p w14:paraId="210096B3">
            <w:pPr>
              <w:spacing w:after="0" w:line="276" w:lineRule="auto"/>
              <w:ind w:left="0" w:firstLine="709"/>
              <w:rPr>
                <w:b w:val="0"/>
                <w:bCs/>
                <w:sz w:val="24"/>
              </w:rPr>
            </w:pPr>
            <w:r>
              <w:rPr>
                <w:rFonts w:hint="default"/>
                <w:b w:val="0"/>
                <w:bCs/>
                <w:sz w:val="24"/>
                <w:lang w:val="en-US" w:eastAsia="zh-CN"/>
              </w:rPr>
              <w:t xml:space="preserve">• SDG 17 - Partnerships for the Goals, by connecting students, </w:t>
            </w:r>
          </w:p>
          <w:p w14:paraId="04A4C24A">
            <w:pPr>
              <w:spacing w:after="0" w:line="276" w:lineRule="auto"/>
              <w:ind w:left="0" w:firstLine="709"/>
              <w:rPr>
                <w:b w:val="0"/>
                <w:bCs/>
                <w:sz w:val="24"/>
              </w:rPr>
            </w:pPr>
            <w:r>
              <w:rPr>
                <w:rFonts w:hint="default"/>
                <w:b w:val="0"/>
                <w:bCs/>
                <w:sz w:val="24"/>
                <w:lang w:val="en-US" w:eastAsia="zh-CN"/>
              </w:rPr>
              <w:t xml:space="preserve">local communities, cultural institutions, researchers, global </w:t>
            </w:r>
          </w:p>
          <w:p w14:paraId="752FDFD3">
            <w:pPr>
              <w:spacing w:after="0" w:line="276" w:lineRule="auto"/>
              <w:ind w:left="0" w:firstLine="709"/>
              <w:rPr>
                <w:b w:val="0"/>
                <w:bCs/>
                <w:sz w:val="24"/>
              </w:rPr>
            </w:pPr>
            <w:r>
              <w:rPr>
                <w:rFonts w:hint="default"/>
                <w:b w:val="0"/>
                <w:bCs/>
                <w:sz w:val="24"/>
                <w:lang w:val="en-US" w:eastAsia="zh-CN"/>
              </w:rPr>
              <w:t xml:space="preserve">citizens, digital nomads, responsible businesses, and international </w:t>
            </w:r>
          </w:p>
          <w:p w14:paraId="76DC5BB7">
            <w:pPr>
              <w:spacing w:after="0" w:line="276" w:lineRule="auto"/>
              <w:ind w:left="0" w:firstLine="709"/>
              <w:rPr>
                <w:rFonts w:hint="default"/>
                <w:b w:val="0"/>
                <w:bCs/>
                <w:sz w:val="24"/>
                <w:lang w:val="en-US" w:eastAsia="zh-CN"/>
              </w:rPr>
            </w:pPr>
            <w:r>
              <w:rPr>
                <w:rFonts w:hint="default"/>
                <w:b w:val="0"/>
                <w:bCs/>
                <w:sz w:val="24"/>
                <w:lang w:val="en-US" w:eastAsia="zh-CN"/>
              </w:rPr>
              <w:t xml:space="preserve">partners. </w:t>
            </w:r>
          </w:p>
          <w:p w14:paraId="0AE29A31">
            <w:pPr>
              <w:spacing w:after="0" w:line="276" w:lineRule="auto"/>
              <w:ind w:left="0" w:leftChars="0" w:firstLine="720" w:firstLineChars="300"/>
              <w:rPr>
                <w:b w:val="0"/>
                <w:bCs/>
                <w:sz w:val="24"/>
              </w:rPr>
            </w:pPr>
            <w:r>
              <w:rPr>
                <w:rFonts w:hint="default"/>
                <w:b w:val="0"/>
                <w:bCs/>
                <w:sz w:val="24"/>
                <w:lang w:val="en-US" w:eastAsia="zh-CN"/>
              </w:rPr>
              <w:t xml:space="preserve">Its multilingual learning experiences, open educational resources, and public scientific communication will also support </w:t>
            </w:r>
          </w:p>
          <w:p w14:paraId="3AD438C6">
            <w:pPr>
              <w:spacing w:after="0" w:line="276" w:lineRule="auto"/>
              <w:ind w:left="0" w:firstLine="709"/>
              <w:rPr>
                <w:b w:val="0"/>
                <w:bCs/>
                <w:sz w:val="24"/>
              </w:rPr>
            </w:pPr>
          </w:p>
        </w:tc>
      </w:tr>
      <w:tr w14:paraId="6279BB76">
        <w:tblPrEx>
          <w:tblCellMar>
            <w:top w:w="15" w:type="dxa"/>
            <w:left w:w="108" w:type="dxa"/>
            <w:bottom w:w="0" w:type="dxa"/>
            <w:right w:w="115" w:type="dxa"/>
          </w:tblCellMar>
        </w:tblPrEx>
        <w:trPr>
          <w:trHeight w:val="2952" w:hRule="atLeast"/>
        </w:trPr>
        <w:tc>
          <w:tcPr>
            <w:tcW w:w="9351" w:type="dxa"/>
            <w:gridSpan w:val="2"/>
            <w:tcBorders>
              <w:top w:val="single" w:color="000000" w:sz="4" w:space="0"/>
              <w:left w:val="single" w:color="000000" w:sz="4" w:space="0"/>
              <w:bottom w:val="single" w:color="000000" w:sz="4" w:space="0"/>
              <w:right w:val="single" w:color="000000" w:sz="4" w:space="0"/>
            </w:tcBorders>
          </w:tcPr>
          <w:p w14:paraId="73199467">
            <w:pPr>
              <w:spacing w:after="401" w:line="276" w:lineRule="auto"/>
              <w:ind w:left="0"/>
              <w:rPr>
                <w:sz w:val="24"/>
              </w:rPr>
            </w:pPr>
            <w:r>
              <w:rPr>
                <w:sz w:val="24"/>
              </w:rPr>
              <w:t>Expected Outcome(s)</w:t>
            </w:r>
          </w:p>
          <w:p w14:paraId="021F517E">
            <w:pPr>
              <w:numPr>
                <w:ilvl w:val="0"/>
                <w:numId w:val="1"/>
              </w:numPr>
              <w:spacing w:after="0" w:line="276" w:lineRule="auto"/>
              <w:rPr>
                <w:b w:val="0"/>
                <w:sz w:val="24"/>
              </w:rPr>
            </w:pPr>
            <w:r>
              <w:rPr>
                <w:bCs/>
                <w:sz w:val="24"/>
              </w:rPr>
              <w:t>Core MVP:</w:t>
            </w:r>
            <w:r>
              <w:rPr>
                <w:b w:val="0"/>
                <w:sz w:val="24"/>
              </w:rPr>
              <w:t xml:space="preserve"> </w:t>
            </w:r>
            <w:r>
              <w:rPr>
                <w:b w:val="0"/>
                <w:sz w:val="24"/>
                <w:lang w:val="en-US" w:eastAsia="zh-CN"/>
              </w:rPr>
              <w:t xml:space="preserve">A functional Culturally Aware Agentic Living Atlas for </w:t>
            </w:r>
            <w:r>
              <w:rPr>
                <w:rFonts w:hint="default"/>
                <w:b w:val="0"/>
                <w:sz w:val="24"/>
                <w:lang w:val="en-US" w:eastAsia="zh-CN"/>
              </w:rPr>
              <w:t>one local community, integrating multilingual spatial and temporal storytelling, community-reviewed cultural interpretation, traceable provenance and permissions, agentic exploration and source guidance, and interactive pathways through which global citizens and digital nomads can move from visitors to informed contributors.</w:t>
            </w:r>
          </w:p>
          <w:p w14:paraId="2711088D">
            <w:pPr>
              <w:numPr>
                <w:ilvl w:val="0"/>
                <w:numId w:val="1"/>
              </w:numPr>
              <w:spacing w:after="0" w:line="276" w:lineRule="auto"/>
              <w:rPr>
                <w:b w:val="0"/>
                <w:sz w:val="24"/>
              </w:rPr>
            </w:pPr>
            <w:r>
              <w:rPr>
                <w:bCs/>
                <w:sz w:val="24"/>
              </w:rPr>
              <w:t>Scientist:</w:t>
            </w:r>
            <w:r>
              <w:rPr>
                <w:b w:val="0"/>
                <w:sz w:val="24"/>
              </w:rPr>
              <w:t xml:space="preserve"> </w:t>
            </w:r>
            <w:r>
              <w:rPr>
                <w:b w:val="0"/>
                <w:sz w:val="24"/>
                <w:lang w:val="en-US" w:eastAsia="zh-CN"/>
              </w:rPr>
              <w:t xml:space="preserve">A rigorous research and community-innovation report </w:t>
            </w:r>
            <w:r>
              <w:rPr>
                <w:rFonts w:hint="default"/>
                <w:b w:val="0"/>
                <w:sz w:val="24"/>
                <w:lang w:val="en-US" w:eastAsia="zh-CN"/>
              </w:rPr>
              <w:t>and a submission-ready paper, extended abstract, or creative-research publication for an appropriate international venue. High-standard open-science artifacts will include a documented multilingual dataset, data dictionary, provenance and permission protocol, responsibly shareable software code, interactive visualizations, and a reproducible public repository</w:t>
            </w:r>
          </w:p>
          <w:p w14:paraId="236BE8D9">
            <w:pPr>
              <w:numPr>
                <w:ilvl w:val="0"/>
                <w:numId w:val="1"/>
              </w:numPr>
              <w:spacing w:after="0" w:line="276" w:lineRule="auto"/>
              <w:rPr>
                <w:b w:val="0"/>
                <w:sz w:val="24"/>
              </w:rPr>
            </w:pPr>
            <w:r>
              <w:rPr>
                <w:bCs/>
                <w:sz w:val="24"/>
              </w:rPr>
              <w:t>Entrepreneur:</w:t>
            </w:r>
            <w:r>
              <w:rPr>
                <w:b w:val="0"/>
                <w:sz w:val="24"/>
              </w:rPr>
              <w:t xml:space="preserve"> A demo startup profile including target users, value proposition, pilot use case, MVP demonstration, stakeholder validation, pitch deck, demo video, responsible commercialization principles, and an initial implementation roadmap.</w:t>
            </w:r>
          </w:p>
          <w:p w14:paraId="48543B74">
            <w:pPr>
              <w:numPr>
                <w:ilvl w:val="0"/>
                <w:numId w:val="1"/>
              </w:numPr>
              <w:spacing w:after="0" w:line="276" w:lineRule="auto"/>
              <w:rPr>
                <w:sz w:val="24"/>
              </w:rPr>
            </w:pPr>
            <w:r>
              <w:rPr>
                <w:bCs/>
                <w:sz w:val="24"/>
              </w:rPr>
              <w:t>Philanthropist / Public-Good Contributor:</w:t>
            </w:r>
            <w:r>
              <w:rPr>
                <w:b w:val="0"/>
                <w:sz w:val="24"/>
              </w:rPr>
              <w:t xml:space="preserve"> A public project website and one interdisciplinary workshop/tutorial bringing together researchers, industry, policymakers, sustainability experts, and international-standards contributors, with multimedia open educational resources and a documented record of stakeholder feedback and project revision.</w:t>
            </w:r>
          </w:p>
        </w:tc>
      </w:tr>
      <w:tr w14:paraId="37745D45">
        <w:tblPrEx>
          <w:tblCellMar>
            <w:top w:w="15" w:type="dxa"/>
            <w:left w:w="108" w:type="dxa"/>
            <w:bottom w:w="0" w:type="dxa"/>
            <w:right w:w="115" w:type="dxa"/>
          </w:tblCellMar>
        </w:tblPrEx>
        <w:trPr>
          <w:trHeight w:val="2952" w:hRule="atLeast"/>
        </w:trPr>
        <w:tc>
          <w:tcPr>
            <w:tcW w:w="9351" w:type="dxa"/>
            <w:gridSpan w:val="2"/>
            <w:tcBorders>
              <w:top w:val="single" w:color="000000" w:sz="4" w:space="0"/>
              <w:left w:val="single" w:color="000000" w:sz="4" w:space="0"/>
              <w:bottom w:val="single" w:color="000000" w:sz="4" w:space="0"/>
              <w:right w:val="single" w:color="000000" w:sz="4" w:space="0"/>
            </w:tcBorders>
          </w:tcPr>
          <w:p w14:paraId="39DAFEEC">
            <w:pPr>
              <w:pStyle w:val="4"/>
              <w:spacing w:after="0" w:line="276" w:lineRule="auto"/>
              <w:rPr>
                <w:b/>
                <w:bCs/>
                <w:color w:val="1C2D38"/>
              </w:rPr>
            </w:pPr>
            <w:r>
              <w:rPr>
                <w:b/>
                <w:bCs/>
                <w:color w:val="1C2D38"/>
              </w:rPr>
              <w:t>Requirements for student applicants</w:t>
            </w:r>
          </w:p>
          <w:p w14:paraId="053AAFBB">
            <w:pPr>
              <w:spacing w:after="401" w:line="276" w:lineRule="auto"/>
              <w:ind w:left="0"/>
              <w:rPr>
                <w:sz w:val="24"/>
              </w:rPr>
            </w:pPr>
            <w:r>
              <w:rPr>
                <w:b w:val="0"/>
                <w:color w:val="auto"/>
                <w:kern w:val="0"/>
                <w:sz w:val="24"/>
                <w14:ligatures w14:val="none"/>
              </w:rPr>
              <w:t>Open to students from all majors. Prior experience in AI, robotics, economics, sustainability, supply chains, data science, coding, or visualization is helpful but not required. We value curiosity, reliability, ethical judgment, and the motivation to learn across disciplines. Applicants should be willing to work in a team, engage carefully with evidence, document data and code for reproducibility, communicate findings to non-specialists, and take ownership of a year-long project. Leadership may be demonstrated through initiative, collaboration, thoughtful problem-solving, and consistent follow-through.</w:t>
            </w:r>
          </w:p>
        </w:tc>
      </w:tr>
    </w:tbl>
    <w:p w14:paraId="009147C5">
      <w:pPr>
        <w:spacing w:after="0" w:line="276" w:lineRule="auto"/>
        <w:ind w:left="0" w:right="117"/>
        <w:rPr>
          <w:sz w:val="24"/>
        </w:rPr>
      </w:pPr>
    </w:p>
    <w:p w14:paraId="4DEB39E6">
      <w:pPr>
        <w:spacing w:line="276" w:lineRule="auto"/>
        <w:ind w:left="-142"/>
        <w:rPr>
          <w:sz w:val="24"/>
        </w:rPr>
      </w:pPr>
    </w:p>
    <w:p w14:paraId="20AA4068"/>
    <w:sectPr>
      <w:pgSz w:w="12240" w:h="15840"/>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DejaVuSans">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 w:name="MS PGothic">
    <w:panose1 w:val="020B0600070205080204"/>
    <w:charset w:val="80"/>
    <w:family w:val="auto"/>
    <w:pitch w:val="default"/>
    <w:sig w:usb0="E00002FF" w:usb1="6AC7FDFB" w:usb2="08000012" w:usb3="00000000" w:csb0="4002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EB5FAC"/>
    <w:multiLevelType w:val="multilevel"/>
    <w:tmpl w:val="08EB5FAC"/>
    <w:lvl w:ilvl="0" w:tentative="0">
      <w:start w:val="1"/>
      <w:numFmt w:val="bullet"/>
      <w:lvlText w:val=""/>
      <w:lvlJc w:val="left"/>
      <w:pPr>
        <w:ind w:left="420"/>
      </w:pPr>
      <w:rPr>
        <w:rFonts w:ascii="Wingdings" w:hAnsi="Wingdings" w:eastAsia="Wingdings" w:cs="Wingdings"/>
        <w:b w:val="0"/>
        <w:i w:val="0"/>
        <w:strike w:val="0"/>
        <w:dstrike w:val="0"/>
        <w:color w:val="000000"/>
        <w:sz w:val="16"/>
        <w:szCs w:val="16"/>
        <w:u w:val="none" w:color="000000"/>
        <w:shd w:val="clear" w:color="auto" w:fill="auto"/>
        <w:vertAlign w:val="baseline"/>
      </w:rPr>
    </w:lvl>
    <w:lvl w:ilvl="1" w:tentative="0">
      <w:start w:val="1"/>
      <w:numFmt w:val="bullet"/>
      <w:lvlText w:val="o"/>
      <w:lvlJc w:val="left"/>
      <w:pPr>
        <w:ind w:left="1188"/>
      </w:pPr>
      <w:rPr>
        <w:rFonts w:ascii="Wingdings" w:hAnsi="Wingdings" w:eastAsia="Wingdings" w:cs="Wingdings"/>
        <w:b w:val="0"/>
        <w:i w:val="0"/>
        <w:strike w:val="0"/>
        <w:dstrike w:val="0"/>
        <w:color w:val="000000"/>
        <w:sz w:val="16"/>
        <w:szCs w:val="16"/>
        <w:u w:val="none" w:color="000000"/>
        <w:shd w:val="clear" w:color="auto" w:fill="auto"/>
        <w:vertAlign w:val="baseline"/>
      </w:rPr>
    </w:lvl>
    <w:lvl w:ilvl="2" w:tentative="0">
      <w:start w:val="1"/>
      <w:numFmt w:val="bullet"/>
      <w:lvlText w:val="▪"/>
      <w:lvlJc w:val="left"/>
      <w:pPr>
        <w:ind w:left="1908"/>
      </w:pPr>
      <w:rPr>
        <w:rFonts w:ascii="Wingdings" w:hAnsi="Wingdings" w:eastAsia="Wingdings" w:cs="Wingdings"/>
        <w:b w:val="0"/>
        <w:i w:val="0"/>
        <w:strike w:val="0"/>
        <w:dstrike w:val="0"/>
        <w:color w:val="000000"/>
        <w:sz w:val="16"/>
        <w:szCs w:val="16"/>
        <w:u w:val="none" w:color="000000"/>
        <w:shd w:val="clear" w:color="auto" w:fill="auto"/>
        <w:vertAlign w:val="baseline"/>
      </w:rPr>
    </w:lvl>
    <w:lvl w:ilvl="3" w:tentative="0">
      <w:start w:val="1"/>
      <w:numFmt w:val="bullet"/>
      <w:lvlText w:val="•"/>
      <w:lvlJc w:val="left"/>
      <w:pPr>
        <w:ind w:left="2628"/>
      </w:pPr>
      <w:rPr>
        <w:rFonts w:ascii="Wingdings" w:hAnsi="Wingdings" w:eastAsia="Wingdings" w:cs="Wingdings"/>
        <w:b w:val="0"/>
        <w:i w:val="0"/>
        <w:strike w:val="0"/>
        <w:dstrike w:val="0"/>
        <w:color w:val="000000"/>
        <w:sz w:val="16"/>
        <w:szCs w:val="16"/>
        <w:u w:val="none" w:color="000000"/>
        <w:shd w:val="clear" w:color="auto" w:fill="auto"/>
        <w:vertAlign w:val="baseline"/>
      </w:rPr>
    </w:lvl>
    <w:lvl w:ilvl="4" w:tentative="0">
      <w:start w:val="1"/>
      <w:numFmt w:val="bullet"/>
      <w:lvlText w:val="o"/>
      <w:lvlJc w:val="left"/>
      <w:pPr>
        <w:ind w:left="3348"/>
      </w:pPr>
      <w:rPr>
        <w:rFonts w:ascii="Wingdings" w:hAnsi="Wingdings" w:eastAsia="Wingdings" w:cs="Wingdings"/>
        <w:b w:val="0"/>
        <w:i w:val="0"/>
        <w:strike w:val="0"/>
        <w:dstrike w:val="0"/>
        <w:color w:val="000000"/>
        <w:sz w:val="16"/>
        <w:szCs w:val="16"/>
        <w:u w:val="none" w:color="000000"/>
        <w:shd w:val="clear" w:color="auto" w:fill="auto"/>
        <w:vertAlign w:val="baseline"/>
      </w:rPr>
    </w:lvl>
    <w:lvl w:ilvl="5" w:tentative="0">
      <w:start w:val="1"/>
      <w:numFmt w:val="bullet"/>
      <w:lvlText w:val="▪"/>
      <w:lvlJc w:val="left"/>
      <w:pPr>
        <w:ind w:left="4068"/>
      </w:pPr>
      <w:rPr>
        <w:rFonts w:ascii="Wingdings" w:hAnsi="Wingdings" w:eastAsia="Wingdings" w:cs="Wingdings"/>
        <w:b w:val="0"/>
        <w:i w:val="0"/>
        <w:strike w:val="0"/>
        <w:dstrike w:val="0"/>
        <w:color w:val="000000"/>
        <w:sz w:val="16"/>
        <w:szCs w:val="16"/>
        <w:u w:val="none" w:color="000000"/>
        <w:shd w:val="clear" w:color="auto" w:fill="auto"/>
        <w:vertAlign w:val="baseline"/>
      </w:rPr>
    </w:lvl>
    <w:lvl w:ilvl="6" w:tentative="0">
      <w:start w:val="1"/>
      <w:numFmt w:val="bullet"/>
      <w:lvlText w:val="•"/>
      <w:lvlJc w:val="left"/>
      <w:pPr>
        <w:ind w:left="4788"/>
      </w:pPr>
      <w:rPr>
        <w:rFonts w:ascii="Wingdings" w:hAnsi="Wingdings" w:eastAsia="Wingdings" w:cs="Wingdings"/>
        <w:b w:val="0"/>
        <w:i w:val="0"/>
        <w:strike w:val="0"/>
        <w:dstrike w:val="0"/>
        <w:color w:val="000000"/>
        <w:sz w:val="16"/>
        <w:szCs w:val="16"/>
        <w:u w:val="none" w:color="000000"/>
        <w:shd w:val="clear" w:color="auto" w:fill="auto"/>
        <w:vertAlign w:val="baseline"/>
      </w:rPr>
    </w:lvl>
    <w:lvl w:ilvl="7" w:tentative="0">
      <w:start w:val="1"/>
      <w:numFmt w:val="bullet"/>
      <w:lvlText w:val="o"/>
      <w:lvlJc w:val="left"/>
      <w:pPr>
        <w:ind w:left="5508"/>
      </w:pPr>
      <w:rPr>
        <w:rFonts w:ascii="Wingdings" w:hAnsi="Wingdings" w:eastAsia="Wingdings" w:cs="Wingdings"/>
        <w:b w:val="0"/>
        <w:i w:val="0"/>
        <w:strike w:val="0"/>
        <w:dstrike w:val="0"/>
        <w:color w:val="000000"/>
        <w:sz w:val="16"/>
        <w:szCs w:val="16"/>
        <w:u w:val="none" w:color="000000"/>
        <w:shd w:val="clear" w:color="auto" w:fill="auto"/>
        <w:vertAlign w:val="baseline"/>
      </w:rPr>
    </w:lvl>
    <w:lvl w:ilvl="8" w:tentative="0">
      <w:start w:val="1"/>
      <w:numFmt w:val="bullet"/>
      <w:lvlText w:val="▪"/>
      <w:lvlJc w:val="left"/>
      <w:pPr>
        <w:ind w:left="6228"/>
      </w:pPr>
      <w:rPr>
        <w:rFonts w:ascii="Wingdings" w:hAnsi="Wingdings" w:eastAsia="Wingdings" w:cs="Wingdings"/>
        <w:b w:val="0"/>
        <w:i w:val="0"/>
        <w:strike w:val="0"/>
        <w:dstrike w:val="0"/>
        <w:color w:val="000000"/>
        <w:sz w:val="16"/>
        <w:szCs w:val="16"/>
        <w:u w:val="none" w:color="000000"/>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B07BB7"/>
    <w:rsid w:val="2CB07B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418" w:line="259" w:lineRule="auto"/>
      <w:ind w:left="2510"/>
    </w:pPr>
    <w:rPr>
      <w:rFonts w:ascii="Times New Roman" w:hAnsi="Times New Roman" w:eastAsia="Times New Roman" w:cs="Times New Roman"/>
      <w:b/>
      <w:color w:val="000000"/>
      <w:kern w:val="2"/>
      <w:sz w:val="36"/>
      <w:szCs w:val="24"/>
      <w:lang w:val="zh-CN" w:eastAsia="zh-CN" w:bidi="ar-SA"/>
      <w14:ligatures w14:val="standardContextual"/>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nhideWhenUsed/>
    <w:uiPriority w:val="99"/>
    <w:pPr>
      <w:spacing w:before="100" w:beforeAutospacing="1" w:after="100" w:afterAutospacing="1" w:line="240" w:lineRule="auto"/>
      <w:ind w:left="0"/>
    </w:pPr>
    <w:rPr>
      <w:b w:val="0"/>
      <w:color w:val="auto"/>
      <w:kern w:val="0"/>
      <w:sz w:val="24"/>
      <w14:ligatures w14:val="none"/>
    </w:rPr>
  </w:style>
  <w:style w:type="character" w:styleId="7">
    <w:name w:val="Hyperlink"/>
    <w:basedOn w:val="6"/>
    <w:unhideWhenUsed/>
    <w:uiPriority w:val="99"/>
    <w:rPr>
      <w:color w:val="0026E5" w:themeColor="hyperlink"/>
      <w:u w:val="single"/>
      <w14:textFill>
        <w14:solidFill>
          <w14:schemeClr w14:val="hlink"/>
        </w14:solidFill>
      </w14:textFill>
    </w:rPr>
  </w:style>
  <w:style w:type="table" w:customStyle="1" w:styleId="8">
    <w:name w:val="TableGrid"/>
    <w:uiPriority w:val="0"/>
    <w:pPr>
      <w:spacing w:after="0" w:line="240" w:lineRule="auto"/>
    </w:p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7</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2026-09-10T02:51:00Z</dcterms:created>
  <dc:creator>Alice</dc:creator>
  <cp:lastModifiedBy>Alice</cp:lastModifiedBy>
  <dcterms:modified xsi:type="dcterms:W3CDTF">2026-09-10T03:01:36Z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0F9F250BFCB147E59AC34ABF9F623C2A_11</vt:lpwstr>
  </property>
  <property fmtid="{D5CDD505-2E9C-101B-9397-08002B2CF9AE}" pid="4" name="KSOTemplateDocerSaveRecord">
    <vt:lpwstr>eyJoZGlkIjoiOTEyNmRhZDE4MDIxZjg1ODk1ZTNkNTI4MTg0NWY5NDkiLCJ1c2VySWQiOiIzMjA4MTIwMiJ9</vt:lpwstr>
  </property>
</Properties>
</file>