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A5E99">
      <w:pPr>
        <w:spacing w:line="276" w:lineRule="auto"/>
      </w:pPr>
      <w:r>
        <w:t>Faculty Project Information</w:t>
      </w:r>
    </w:p>
    <w:tbl>
      <w:tblPr>
        <w:tblStyle w:val="6"/>
        <w:tblW w:w="9351" w:type="dxa"/>
        <w:tblInd w:w="-108" w:type="dxa"/>
        <w:tblLayout w:type="autofit"/>
        <w:tblCellMar>
          <w:top w:w="15" w:type="dxa"/>
          <w:left w:w="108" w:type="dxa"/>
          <w:bottom w:w="0" w:type="dxa"/>
          <w:right w:w="115" w:type="dxa"/>
        </w:tblCellMar>
      </w:tblPr>
      <w:tblGrid>
        <w:gridCol w:w="2385"/>
        <w:gridCol w:w="6966"/>
      </w:tblGrid>
      <w:tr w14:paraId="75FDD330">
        <w:tblPrEx>
          <w:tblCellMar>
            <w:top w:w="15" w:type="dxa"/>
            <w:left w:w="108" w:type="dxa"/>
            <w:bottom w:w="0" w:type="dxa"/>
            <w:right w:w="115" w:type="dxa"/>
          </w:tblCellMar>
        </w:tblPrEx>
        <w:trPr>
          <w:trHeight w:val="91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13C00F8">
            <w:pPr>
              <w:spacing w:after="0" w:line="276" w:lineRule="auto"/>
              <w:ind w:left="0"/>
              <w:rPr>
                <w:b w:val="0"/>
                <w:bCs/>
                <w:sz w:val="24"/>
                <w:szCs w:val="24"/>
              </w:rPr>
            </w:pPr>
            <w:r>
              <w:rPr>
                <w:b/>
                <w:bCs w:val="0"/>
                <w:sz w:val="24"/>
                <w:szCs w:val="24"/>
              </w:rPr>
              <w:t>Muddy Water Coffee</w:t>
            </w:r>
          </w:p>
        </w:tc>
      </w:tr>
      <w:tr w14:paraId="697F97A5">
        <w:tblPrEx>
          <w:tblCellMar>
            <w:top w:w="15" w:type="dxa"/>
            <w:left w:w="108" w:type="dxa"/>
            <w:bottom w:w="0" w:type="dxa"/>
            <w:right w:w="115" w:type="dxa"/>
          </w:tblCellMar>
        </w:tblPrEx>
        <w:trPr>
          <w:trHeight w:val="627" w:hRule="atLeast"/>
        </w:trPr>
        <w:tc>
          <w:tcPr>
            <w:tcW w:w="2385" w:type="dxa"/>
            <w:tcBorders>
              <w:top w:val="single" w:color="000000" w:sz="4" w:space="0"/>
              <w:left w:val="single" w:color="000000" w:sz="4" w:space="0"/>
              <w:bottom w:val="single" w:color="000000" w:sz="4" w:space="0"/>
              <w:right w:val="single" w:color="000000" w:sz="4" w:space="0"/>
            </w:tcBorders>
          </w:tcPr>
          <w:p w14:paraId="259BDDA0">
            <w:pPr>
              <w:spacing w:after="0" w:line="276" w:lineRule="auto"/>
              <w:ind w:left="0"/>
              <w:rPr>
                <w:b w:val="0"/>
                <w:bCs/>
                <w:sz w:val="24"/>
                <w:szCs w:val="24"/>
              </w:rPr>
            </w:pPr>
            <w:r>
              <w:rPr>
                <w:b/>
                <w:bCs w:val="0"/>
                <w:sz w:val="24"/>
                <w:szCs w:val="24"/>
              </w:rPr>
              <w:t>Faculty Name:</w:t>
            </w:r>
          </w:p>
        </w:tc>
        <w:tc>
          <w:tcPr>
            <w:tcW w:w="6966" w:type="dxa"/>
            <w:tcBorders>
              <w:top w:val="single" w:color="000000" w:sz="4" w:space="0"/>
              <w:left w:val="single" w:color="000000" w:sz="4" w:space="0"/>
              <w:bottom w:val="single" w:color="000000" w:sz="4" w:space="0"/>
              <w:right w:val="single" w:color="000000" w:sz="4" w:space="0"/>
            </w:tcBorders>
          </w:tcPr>
          <w:p w14:paraId="67921013">
            <w:pPr>
              <w:spacing w:after="0" w:line="276" w:lineRule="auto"/>
              <w:ind w:left="1"/>
              <w:rPr>
                <w:b w:val="0"/>
                <w:bCs/>
                <w:sz w:val="24"/>
                <w:szCs w:val="24"/>
              </w:rPr>
            </w:pPr>
            <w:bookmarkStart w:id="0" w:name="_GoBack"/>
            <w:r>
              <w:rPr>
                <w:b w:val="0"/>
                <w:bCs/>
                <w:sz w:val="24"/>
                <w:szCs w:val="24"/>
              </w:rPr>
              <w:t>Kaley Clements</w:t>
            </w:r>
            <w:bookmarkEnd w:id="0"/>
          </w:p>
        </w:tc>
      </w:tr>
      <w:tr w14:paraId="4694A1E2">
        <w:tblPrEx>
          <w:tblCellMar>
            <w:top w:w="15" w:type="dxa"/>
            <w:left w:w="108" w:type="dxa"/>
            <w:bottom w:w="0" w:type="dxa"/>
            <w:right w:w="115" w:type="dxa"/>
          </w:tblCellMar>
        </w:tblPrEx>
        <w:trPr>
          <w:trHeight w:val="578" w:hRule="atLeast"/>
        </w:trPr>
        <w:tc>
          <w:tcPr>
            <w:tcW w:w="2385" w:type="dxa"/>
            <w:tcBorders>
              <w:top w:val="single" w:color="000000" w:sz="4" w:space="0"/>
              <w:left w:val="single" w:color="000000" w:sz="4" w:space="0"/>
              <w:bottom w:val="single" w:color="000000" w:sz="4" w:space="0"/>
              <w:right w:val="single" w:color="000000" w:sz="4" w:space="0"/>
            </w:tcBorders>
          </w:tcPr>
          <w:p w14:paraId="5EE9809D">
            <w:pPr>
              <w:spacing w:after="0" w:line="276" w:lineRule="auto"/>
              <w:ind w:left="0"/>
              <w:rPr>
                <w:b w:val="0"/>
                <w:bCs/>
                <w:sz w:val="24"/>
                <w:szCs w:val="24"/>
              </w:rPr>
            </w:pPr>
            <w:r>
              <w:rPr>
                <w:b/>
                <w:bCs w:val="0"/>
                <w:sz w:val="24"/>
                <w:szCs w:val="24"/>
              </w:rPr>
              <w:t>Faculty Email:</w:t>
            </w:r>
          </w:p>
        </w:tc>
        <w:tc>
          <w:tcPr>
            <w:tcW w:w="6966" w:type="dxa"/>
            <w:tcBorders>
              <w:top w:val="single" w:color="000000" w:sz="4" w:space="0"/>
              <w:left w:val="single" w:color="000000" w:sz="4" w:space="0"/>
              <w:bottom w:val="single" w:color="000000" w:sz="4" w:space="0"/>
              <w:right w:val="single" w:color="000000" w:sz="4" w:space="0"/>
            </w:tcBorders>
          </w:tcPr>
          <w:p w14:paraId="318A0C9B">
            <w:pPr>
              <w:pStyle w:val="2"/>
              <w:spacing w:line="276" w:lineRule="auto"/>
              <w:rPr>
                <w:rFonts w:hint="default"/>
                <w:b w:val="0"/>
                <w:bCs/>
                <w:sz w:val="24"/>
                <w:szCs w:val="24"/>
              </w:rPr>
            </w:pPr>
            <w:r>
              <w:rPr>
                <w:b w:val="0"/>
                <w:bCs/>
                <w:sz w:val="24"/>
                <w:szCs w:val="24"/>
              </w:rPr>
              <w:fldChar w:fldCharType="begin"/>
            </w:r>
            <w:r>
              <w:rPr>
                <w:b w:val="0"/>
                <w:bCs/>
                <w:sz w:val="24"/>
                <w:szCs w:val="24"/>
              </w:rPr>
              <w:instrText xml:space="preserve"> HYPERLINK "mailto:kmc104@duke.edu" \t "https://dukekunshan.formstack.com/admin/submission/view/1494395708/_blank" </w:instrText>
            </w:r>
            <w:r>
              <w:rPr>
                <w:b w:val="0"/>
                <w:bCs/>
                <w:sz w:val="24"/>
                <w:szCs w:val="24"/>
              </w:rPr>
              <w:fldChar w:fldCharType="separate"/>
            </w:r>
            <w:r>
              <w:rPr>
                <w:rFonts w:hint="default"/>
                <w:b w:val="0"/>
                <w:bCs/>
                <w:sz w:val="24"/>
                <w:szCs w:val="24"/>
              </w:rPr>
              <w:t>kmc104@duke.edu</w:t>
            </w:r>
            <w:r>
              <w:rPr>
                <w:rFonts w:hint="default"/>
                <w:b w:val="0"/>
                <w:bCs/>
                <w:sz w:val="24"/>
                <w:szCs w:val="24"/>
              </w:rPr>
              <w:fldChar w:fldCharType="end"/>
            </w:r>
          </w:p>
        </w:tc>
      </w:tr>
      <w:tr w14:paraId="0BD497E6">
        <w:tblPrEx>
          <w:tblCellMar>
            <w:top w:w="15" w:type="dxa"/>
            <w:left w:w="108" w:type="dxa"/>
            <w:bottom w:w="0" w:type="dxa"/>
            <w:right w:w="115" w:type="dxa"/>
          </w:tblCellMar>
        </w:tblPrEx>
        <w:trPr>
          <w:trHeight w:val="657" w:hRule="atLeast"/>
        </w:trPr>
        <w:tc>
          <w:tcPr>
            <w:tcW w:w="2385" w:type="dxa"/>
            <w:tcBorders>
              <w:top w:val="single" w:color="000000" w:sz="4" w:space="0"/>
              <w:left w:val="single" w:color="000000" w:sz="4" w:space="0"/>
              <w:bottom w:val="single" w:color="000000" w:sz="4" w:space="0"/>
              <w:right w:val="single" w:color="000000" w:sz="4" w:space="0"/>
            </w:tcBorders>
          </w:tcPr>
          <w:p w14:paraId="4F1335C4">
            <w:pPr>
              <w:spacing w:after="0" w:line="276" w:lineRule="auto"/>
              <w:ind w:left="0"/>
              <w:rPr>
                <w:b w:val="0"/>
                <w:bCs/>
                <w:sz w:val="24"/>
                <w:szCs w:val="24"/>
              </w:rPr>
            </w:pPr>
            <w:r>
              <w:rPr>
                <w:b/>
                <w:bCs w:val="0"/>
                <w:sz w:val="24"/>
                <w:szCs w:val="24"/>
              </w:rPr>
              <w:t>Research Field:</w:t>
            </w:r>
          </w:p>
        </w:tc>
        <w:tc>
          <w:tcPr>
            <w:tcW w:w="6966" w:type="dxa"/>
            <w:tcBorders>
              <w:top w:val="single" w:color="000000" w:sz="4" w:space="0"/>
              <w:left w:val="single" w:color="000000" w:sz="4" w:space="0"/>
              <w:bottom w:val="single" w:color="000000" w:sz="4" w:space="0"/>
              <w:right w:val="single" w:color="000000" w:sz="4" w:space="0"/>
            </w:tcBorders>
          </w:tcPr>
          <w:p w14:paraId="2F0271CD">
            <w:pPr>
              <w:spacing w:after="0" w:line="276" w:lineRule="auto"/>
              <w:ind w:left="1"/>
              <w:rPr>
                <w:b w:val="0"/>
                <w:bCs/>
                <w:sz w:val="24"/>
                <w:szCs w:val="24"/>
              </w:rPr>
            </w:pPr>
            <w:r>
              <w:rPr>
                <w:b w:val="0"/>
                <w:bCs/>
                <w:sz w:val="24"/>
                <w:szCs w:val="24"/>
              </w:rPr>
              <w:t>Community-based agroecological sustainability through multispecies ethnography</w:t>
            </w:r>
          </w:p>
        </w:tc>
      </w:tr>
      <w:tr w14:paraId="0F065255">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770DE4D">
            <w:pPr>
              <w:spacing w:after="0" w:line="276" w:lineRule="auto"/>
              <w:ind w:left="0"/>
              <w:rPr>
                <w:b/>
                <w:bCs w:val="0"/>
                <w:sz w:val="24"/>
                <w:szCs w:val="24"/>
              </w:rPr>
            </w:pPr>
            <w:r>
              <w:rPr>
                <w:b/>
                <w:bCs w:val="0"/>
                <w:sz w:val="24"/>
                <w:szCs w:val="24"/>
              </w:rPr>
              <w:t>Brief Description</w:t>
            </w:r>
          </w:p>
          <w:p w14:paraId="21A67145">
            <w:pPr>
              <w:spacing w:after="0" w:line="276" w:lineRule="auto"/>
              <w:ind w:left="0"/>
              <w:rPr>
                <w:b/>
                <w:bCs w:val="0"/>
                <w:sz w:val="24"/>
                <w:szCs w:val="24"/>
              </w:rPr>
            </w:pPr>
          </w:p>
          <w:p w14:paraId="617DC925">
            <w:pPr>
              <w:numPr>
                <w:ilvl w:val="0"/>
                <w:numId w:val="0"/>
              </w:numPr>
              <w:spacing w:after="0" w:line="276" w:lineRule="auto"/>
              <w:rPr>
                <w:b w:val="0"/>
                <w:bCs/>
                <w:sz w:val="24"/>
                <w:szCs w:val="24"/>
              </w:rPr>
            </w:pPr>
            <w:r>
              <w:rPr>
                <w:b w:val="0"/>
                <w:bCs/>
                <w:sz w:val="24"/>
                <w:szCs w:val="24"/>
              </w:rPr>
              <w:t xml:space="preserve">The proposed Muddy Water Coffee research project is a continuation of Muddy Water, a student-led ArtsDoc Living Learning Community initiative. This initiative has already facilitated learning about sustainable coffee at the DKU-based bi-weekly farmer’s market and in the Kunshan-Suzhou area at Yuefeng Island Organic Farm and local cafes. Members of the Muddy Water initiative traveled to Thailand this summer as part of the course MEDIART 198 where they collaborated with local communities to document environmental and social change in the region through film and artistic work. Members became familiar with a range of local perspectives, learned about organic farming practices, and bought coffee from organic permaculture farms in the Huai Ma Kliang community. The ethically sourced coffee will be used for weekly, volunteer-based coffee workshops. </w:t>
            </w:r>
          </w:p>
          <w:p w14:paraId="7BE44659">
            <w:pPr>
              <w:numPr>
                <w:ilvl w:val="0"/>
                <w:numId w:val="0"/>
              </w:numPr>
              <w:spacing w:after="0" w:line="276" w:lineRule="auto"/>
              <w:rPr>
                <w:b w:val="0"/>
                <w:bCs/>
                <w:sz w:val="24"/>
                <w:szCs w:val="24"/>
              </w:rPr>
            </w:pPr>
          </w:p>
          <w:p w14:paraId="27D39986">
            <w:pPr>
              <w:numPr>
                <w:ilvl w:val="0"/>
                <w:numId w:val="0"/>
              </w:numPr>
              <w:spacing w:after="0" w:line="276" w:lineRule="auto"/>
              <w:rPr>
                <w:b w:val="0"/>
                <w:bCs/>
                <w:sz w:val="24"/>
                <w:szCs w:val="24"/>
              </w:rPr>
            </w:pPr>
            <w:r>
              <w:rPr>
                <w:b w:val="0"/>
                <w:bCs/>
                <w:sz w:val="24"/>
                <w:szCs w:val="24"/>
              </w:rPr>
              <w:t xml:space="preserve">Muddy Water Coffee will function as a creative space where activities, such as film screening and ceramic events, will be held. It will be a platform for students to discuss pressing issues such as coffee consumption, environmental affairs, and sustainable farming. Members create sustainability models not just for coffee, but to elicit general consideration for ethically sourcing common commodities of daily life on the DKU campus and beyond. This research project will facilitate studying the ecosystems, communities, and commodity chains around coffee through an anthropological lens. </w:t>
            </w:r>
          </w:p>
          <w:p w14:paraId="4C1C426F">
            <w:pPr>
              <w:numPr>
                <w:ilvl w:val="0"/>
                <w:numId w:val="0"/>
              </w:numPr>
              <w:spacing w:after="0" w:line="276" w:lineRule="auto"/>
              <w:rPr>
                <w:b w:val="0"/>
                <w:bCs/>
                <w:sz w:val="24"/>
                <w:szCs w:val="24"/>
              </w:rPr>
            </w:pPr>
          </w:p>
          <w:p w14:paraId="0D18173C">
            <w:pPr>
              <w:numPr>
                <w:ilvl w:val="0"/>
                <w:numId w:val="0"/>
              </w:numPr>
              <w:spacing w:after="0" w:line="276" w:lineRule="auto"/>
              <w:rPr>
                <w:b w:val="0"/>
                <w:bCs/>
                <w:sz w:val="24"/>
                <w:szCs w:val="24"/>
              </w:rPr>
            </w:pPr>
            <w:r>
              <w:rPr>
                <w:b w:val="0"/>
                <w:bCs/>
                <w:sz w:val="24"/>
                <w:szCs w:val="24"/>
              </w:rPr>
              <w:t xml:space="preserve">The application of ethnographic film and hands-on participation in coffee workshops provide a window into the lived experiences of individuals and communities. The faculty supervisor and existing student research team plan to return to the communities visited in Thailand in December and share their film work to ensure local people have agency in the way that their story is shared. Teaching and learning with ethnographic film engages students and audiences with ecological-historical-cultural relationships. Ethnographic film and art can illustrate anthropological concepts, offer understanding of fieldwork through the senses, and foster critical thinking about cultural representation and the filmmaking process itself. The methodical approach of returning to communities to ensure knowledge is co-created by local perspectives exposes students to ethical considerations, and fieldwork challenges that ethnographers face. The equipment used for filming includes analog cameras that require film processing in a dark room. Analogue is becoming a more popular medium of choice with the use of AI on the rise. The negatives made in analogue production create authenticity and observational evidence in a world that is drifting towards deep fakes through generative AI. </w:t>
            </w:r>
          </w:p>
          <w:p w14:paraId="5B3EF04F">
            <w:pPr>
              <w:numPr>
                <w:ilvl w:val="0"/>
                <w:numId w:val="0"/>
              </w:numPr>
              <w:spacing w:after="0" w:line="276" w:lineRule="auto"/>
              <w:rPr>
                <w:b w:val="0"/>
                <w:bCs/>
                <w:sz w:val="24"/>
                <w:szCs w:val="24"/>
              </w:rPr>
            </w:pPr>
          </w:p>
          <w:p w14:paraId="56D0457B">
            <w:pPr>
              <w:numPr>
                <w:ilvl w:val="0"/>
                <w:numId w:val="0"/>
              </w:numPr>
              <w:spacing w:after="0" w:line="276" w:lineRule="auto"/>
              <w:rPr>
                <w:b w:val="0"/>
                <w:bCs/>
                <w:sz w:val="24"/>
                <w:szCs w:val="24"/>
              </w:rPr>
            </w:pPr>
            <w:r>
              <w:rPr>
                <w:b w:val="0"/>
                <w:bCs/>
                <w:sz w:val="24"/>
                <w:szCs w:val="24"/>
              </w:rPr>
              <w:t>These types of AI production models not only allow people to make fake materials, but their uses limit face-to-face interactions. The coffee shop space on the other hand creates a space for face-to-face interactions to take place and foster connections while discussing themes relevant to students’ generation. By screening the film at DKU and creating other forms of media to convey that drinking coffee has implications for communities that are closer to us than they seem, the project intends to shed light on other social and environmental issues associated with this commodity chain, and spark discussions and ideas surrounding sustainability and alternative modes of consumption.</w:t>
            </w:r>
          </w:p>
        </w:tc>
      </w:tr>
      <w:tr w14:paraId="63421B59">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7A201845">
            <w:pPr>
              <w:spacing w:after="0" w:line="276" w:lineRule="auto"/>
              <w:ind w:left="0"/>
              <w:rPr>
                <w:b/>
                <w:bCs w:val="0"/>
                <w:sz w:val="24"/>
                <w:szCs w:val="24"/>
              </w:rPr>
            </w:pPr>
            <w:r>
              <w:rPr>
                <w:b/>
                <w:bCs w:val="0"/>
                <w:sz w:val="24"/>
                <w:szCs w:val="24"/>
              </w:rPr>
              <w:t xml:space="preserve">Expected outcome(s) </w:t>
            </w:r>
          </w:p>
          <w:p w14:paraId="7E4001F4">
            <w:pPr>
              <w:spacing w:after="0" w:line="276" w:lineRule="auto"/>
              <w:ind w:left="0"/>
              <w:rPr>
                <w:b w:val="0"/>
                <w:bCs/>
                <w:sz w:val="24"/>
                <w:szCs w:val="24"/>
              </w:rPr>
            </w:pPr>
          </w:p>
          <w:p w14:paraId="4A84C9E4">
            <w:pPr>
              <w:numPr>
                <w:ilvl w:val="0"/>
                <w:numId w:val="0"/>
              </w:numPr>
              <w:spacing w:line="276" w:lineRule="auto"/>
              <w:ind w:leftChars="0"/>
              <w:rPr>
                <w:b w:val="0"/>
                <w:bCs/>
                <w:sz w:val="24"/>
                <w:szCs w:val="24"/>
              </w:rPr>
            </w:pPr>
            <w:r>
              <w:rPr>
                <w:b w:val="0"/>
                <w:bCs/>
                <w:sz w:val="24"/>
                <w:szCs w:val="24"/>
              </w:rPr>
              <w:t>here are three major outcomes to be expected from this project: student-led coffee workshops, student-led multimedia art projects, and giving back to the coffee supplier in Thailand. Members will travel to Thailand in December and bring back organic and ethically-sourced coffee to DKU. Muddy Water will run a volunteer-led, coffee workshop twice a week. While people savor the flavor, they will learn how to make coffee, and learn about the sustainable farming approaches behind it. Muddy Water members come up with models for their workshops and events that incorporate sustainability costs. Existing student researchers will collaborate on a documentary film, physical visual materials (including an informative booklet ‘zine’ and poster promoting sustainable consumption), and packaging design for Huai Ma Kliang coffee beans. The documentary will pose questions about sustainability and inequality, and explore alternative ways of life and production beyond capitalist extractivist logic. The zine will communicate similar themes but in a more compact form through still images and illustrations that customers can physically interact with and flip through. The film will serve as a dialogue between students and the communities visited in Thailand. To give back to the supplier at Huai Ma Kliang, students will replace AI generated packaging with designs using still images or sketches. By highlighting the sustainability of organic permaculture farming and the beauty of local knowledge and culture, they intend to have multiple modes of dialogue with the villagers at Huai Ma Kliang and express our appreciation for sharing a part of their lives with us.</w:t>
            </w:r>
          </w:p>
        </w:tc>
      </w:tr>
      <w:tr w14:paraId="71E44ED2">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7EF44AE">
            <w:pPr>
              <w:numPr>
                <w:ilvl w:val="0"/>
                <w:numId w:val="0"/>
              </w:numPr>
              <w:spacing w:line="276" w:lineRule="auto"/>
              <w:ind w:leftChars="0"/>
              <w:rPr>
                <w:b/>
                <w:bCs w:val="0"/>
                <w:sz w:val="24"/>
                <w:szCs w:val="24"/>
              </w:rPr>
            </w:pPr>
            <w:r>
              <w:rPr>
                <w:b/>
                <w:bCs w:val="0"/>
                <w:sz w:val="24"/>
                <w:szCs w:val="24"/>
              </w:rPr>
              <w:t>Requirements for student applicants</w:t>
            </w:r>
          </w:p>
          <w:p w14:paraId="2426DD94">
            <w:pPr>
              <w:numPr>
                <w:ilvl w:val="0"/>
                <w:numId w:val="0"/>
              </w:numPr>
              <w:spacing w:line="276" w:lineRule="auto"/>
              <w:ind w:leftChars="0"/>
              <w:rPr>
                <w:b w:val="0"/>
                <w:bCs/>
                <w:sz w:val="24"/>
                <w:szCs w:val="24"/>
              </w:rPr>
            </w:pPr>
            <w:r>
              <w:rPr>
                <w:b w:val="0"/>
                <w:bCs/>
                <w:sz w:val="24"/>
                <w:szCs w:val="24"/>
              </w:rPr>
              <w:t>Students who have background in sustainable farming, community sharing, and interested in making documentary or other forms of art work</w:t>
            </w:r>
          </w:p>
        </w:tc>
      </w:tr>
    </w:tbl>
    <w:p w14:paraId="26E632E3">
      <w:pPr>
        <w:spacing w:after="0" w:line="276" w:lineRule="auto"/>
        <w:ind w:left="0" w:right="117"/>
      </w:pPr>
    </w:p>
    <w:p w14:paraId="4DEB39E6">
      <w:pPr>
        <w:ind w:left="-142"/>
        <w:rPr>
          <w:sz w:val="24"/>
        </w:rPr>
      </w:pPr>
    </w:p>
    <w:p w14:paraId="6C7860FB"/>
    <w:p w14:paraId="058ACB9E"/>
    <w:p w14:paraId="5B5AF52D"/>
    <w:sectPr>
      <w:pgSz w:w="12240" w:h="15840"/>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FD46A6"/>
    <w:rsid w:val="78FD4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18" w:line="259" w:lineRule="auto"/>
      <w:ind w:left="2510"/>
    </w:pPr>
    <w:rPr>
      <w:rFonts w:ascii="Times New Roman" w:hAnsi="Times New Roman" w:eastAsia="Times New Roman" w:cs="Times New Roman"/>
      <w:b/>
      <w:color w:val="000000"/>
      <w:kern w:val="2"/>
      <w:sz w:val="36"/>
      <w:szCs w:val="24"/>
      <w:lang w:val="zh-CN" w:eastAsia="zh-CN" w:bidi="ar-SA"/>
      <w14:ligatures w14:val="standardContextual"/>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spacing w:before="100" w:beforeAutospacing="1" w:after="100" w:afterAutospacing="1" w:line="240" w:lineRule="auto"/>
      <w:ind w:left="0"/>
    </w:pPr>
    <w:rPr>
      <w:b w:val="0"/>
      <w:color w:val="auto"/>
      <w:kern w:val="0"/>
      <w:sz w:val="24"/>
      <w14:ligatures w14:val="none"/>
    </w:rPr>
  </w:style>
  <w:style w:type="character" w:styleId="5">
    <w:name w:val="Hyperlink"/>
    <w:basedOn w:val="4"/>
    <w:unhideWhenUsed/>
    <w:qFormat/>
    <w:uiPriority w:val="99"/>
    <w:rPr>
      <w:color w:val="0026E5" w:themeColor="hyperlink"/>
      <w:u w:val="single"/>
      <w14:textFill>
        <w14:solidFill>
          <w14:schemeClr w14:val="hlink"/>
        </w14:solidFill>
      </w14:textFill>
    </w:rPr>
  </w:style>
  <w:style w:type="table" w:customStyle="1" w:styleId="6">
    <w:name w:val="TableGrid"/>
    <w:qFormat/>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2026-09-10T03:48:00Z</dcterms:created>
  <dc:creator>Alice</dc:creator>
  <cp:lastModifiedBy>Alice</cp:lastModifiedBy>
  <dcterms:modified xsi:type="dcterms:W3CDTF">2026-09-10T03:53:50Z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DEFDAC589C4648BDAC2CD84F90AC0FC1_11</vt:lpwstr>
  </property>
  <property fmtid="{D5CDD505-2E9C-101B-9397-08002B2CF9AE}" pid="4" name="KSOTemplateDocerSaveRecord">
    <vt:lpwstr>eyJoZGlkIjoiOTEyNmRhZDE4MDIxZjg1ODk1ZTNkNTI4MTg0NWY5NDkiLCJ1c2VySWQiOiIzMjA4MTIwMiJ9</vt:lpwstr>
  </property>
</Properties>
</file>