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r>
        <w:t>Faculty Project Information</w:t>
      </w:r>
    </w:p>
    <w:tbl>
      <w:tblPr>
        <w:tblStyle w:val="6"/>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91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rPr>
                <w:b w:val="0"/>
                <w:bCs/>
                <w:sz w:val="24"/>
                <w:szCs w:val="24"/>
              </w:rPr>
            </w:pPr>
            <w:r>
              <w:rPr>
                <w:b/>
                <w:bCs w:val="0"/>
                <w:sz w:val="24"/>
                <w:szCs w:val="24"/>
              </w:rPr>
              <w:t>Making Environmental Change Visible: Testing Images, Data, and Stories</w:t>
            </w:r>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b w:val="0"/>
                <w:bCs/>
                <w:sz w:val="24"/>
                <w:szCs w:val="24"/>
              </w:rPr>
            </w:pPr>
            <w:r>
              <w:rPr>
                <w:b/>
                <w:bCs w:val="0"/>
                <w:sz w:val="24"/>
                <w:szCs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b w:val="0"/>
                <w:bCs/>
                <w:sz w:val="24"/>
                <w:szCs w:val="24"/>
              </w:rPr>
            </w:pPr>
            <w:r>
              <w:rPr>
                <w:b w:val="0"/>
                <w:bCs/>
                <w:sz w:val="24"/>
                <w:szCs w:val="24"/>
              </w:rPr>
              <w:t>Giada Ferrucci, Ph.D..</w:t>
            </w:r>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b w:val="0"/>
                <w:bCs/>
                <w:sz w:val="24"/>
                <w:szCs w:val="24"/>
              </w:rPr>
            </w:pPr>
            <w:r>
              <w:rPr>
                <w:b/>
                <w:bCs w:val="0"/>
                <w:sz w:val="24"/>
                <w:szCs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744FDB3B">
            <w:pPr>
              <w:pStyle w:val="2"/>
              <w:spacing w:line="276" w:lineRule="auto"/>
              <w:rPr>
                <w:rFonts w:hint="default"/>
                <w:b w:val="0"/>
                <w:bCs/>
                <w:sz w:val="24"/>
                <w:szCs w:val="24"/>
              </w:rPr>
            </w:pPr>
            <w:r>
              <w:rPr>
                <w:b w:val="0"/>
                <w:bCs/>
                <w:sz w:val="24"/>
                <w:szCs w:val="24"/>
              </w:rPr>
              <w:fldChar w:fldCharType="begin"/>
            </w:r>
            <w:r>
              <w:rPr>
                <w:b w:val="0"/>
                <w:bCs/>
                <w:sz w:val="24"/>
                <w:szCs w:val="24"/>
              </w:rPr>
              <w:instrText xml:space="preserve"> HYPERLINK "mailto:giada.ferrucci@dukekunshan.edu.cn" \t "https://dukekunshan.formstack.com/admin/submission/view/1494425164/_blank" </w:instrText>
            </w:r>
            <w:r>
              <w:rPr>
                <w:b w:val="0"/>
                <w:bCs/>
                <w:sz w:val="24"/>
                <w:szCs w:val="24"/>
              </w:rPr>
              <w:fldChar w:fldCharType="separate"/>
            </w:r>
            <w:r>
              <w:rPr>
                <w:rFonts w:hint="default"/>
                <w:b w:val="0"/>
                <w:bCs/>
                <w:sz w:val="24"/>
                <w:szCs w:val="24"/>
              </w:rPr>
              <w:t>giada.ferrucci@dukekunshan.edu.cn</w:t>
            </w:r>
            <w:r>
              <w:rPr>
                <w:rFonts w:hint="default"/>
                <w:b w:val="0"/>
                <w:bCs/>
                <w:sz w:val="24"/>
                <w:szCs w:val="24"/>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b w:val="0"/>
                <w:bCs/>
                <w:sz w:val="24"/>
                <w:szCs w:val="24"/>
              </w:rPr>
            </w:pPr>
            <w:r>
              <w:rPr>
                <w:b/>
                <w:bCs w:val="0"/>
                <w:sz w:val="24"/>
                <w:szCs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b w:val="0"/>
                <w:bCs/>
                <w:sz w:val="24"/>
                <w:szCs w:val="24"/>
              </w:rPr>
            </w:pPr>
            <w:r>
              <w:rPr>
                <w:b w:val="0"/>
                <w:bCs/>
                <w:sz w:val="24"/>
                <w:szCs w:val="24"/>
              </w:rPr>
              <w:t>Environmental communication; media studies; participatory research methods</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b/>
                <w:bCs w:val="0"/>
                <w:sz w:val="24"/>
                <w:szCs w:val="24"/>
              </w:rPr>
            </w:pPr>
            <w:r>
              <w:rPr>
                <w:b/>
                <w:bCs w:val="0"/>
                <w:sz w:val="24"/>
                <w:szCs w:val="24"/>
              </w:rPr>
              <w:t>Brief Description</w:t>
            </w:r>
          </w:p>
          <w:p w14:paraId="3B46A0E9">
            <w:pPr>
              <w:numPr>
                <w:ilvl w:val="0"/>
                <w:numId w:val="0"/>
              </w:numPr>
              <w:spacing w:after="0" w:line="276" w:lineRule="auto"/>
              <w:rPr>
                <w:b w:val="0"/>
                <w:bCs/>
                <w:sz w:val="24"/>
                <w:szCs w:val="24"/>
              </w:rPr>
            </w:pPr>
          </w:p>
          <w:p w14:paraId="15128422">
            <w:pPr>
              <w:numPr>
                <w:ilvl w:val="0"/>
                <w:numId w:val="0"/>
              </w:numPr>
              <w:spacing w:after="0" w:line="276" w:lineRule="auto"/>
              <w:rPr>
                <w:b w:val="0"/>
                <w:bCs/>
                <w:sz w:val="24"/>
                <w:szCs w:val="24"/>
              </w:rPr>
            </w:pPr>
            <w:r>
              <w:rPr>
                <w:b w:val="0"/>
                <w:bCs/>
                <w:sz w:val="24"/>
                <w:szCs w:val="24"/>
              </w:rPr>
              <w:t xml:space="preserve">Environmental problems are increasingly communicated visually, through photographs, maps, infographics, data visualizations, short videos, personal stories, and social media. These formats can make complex issues easier to approach, but what attracts attention is not necessarily what people understand or trust. This project asks a simple question: How does the way we present environmental information shape what young people understand, trust, and find relevant? </w:t>
            </w:r>
          </w:p>
          <w:p w14:paraId="4CC2EF84">
            <w:pPr>
              <w:numPr>
                <w:ilvl w:val="0"/>
                <w:numId w:val="0"/>
              </w:numPr>
              <w:spacing w:after="0" w:line="276" w:lineRule="auto"/>
              <w:rPr>
                <w:b w:val="0"/>
                <w:bCs/>
                <w:sz w:val="24"/>
                <w:szCs w:val="24"/>
              </w:rPr>
            </w:pPr>
          </w:p>
          <w:p w14:paraId="6CD88DA2">
            <w:pPr>
              <w:numPr>
                <w:ilvl w:val="0"/>
                <w:numId w:val="0"/>
              </w:numPr>
              <w:spacing w:after="0" w:line="276" w:lineRule="auto"/>
              <w:rPr>
                <w:b w:val="0"/>
                <w:bCs/>
                <w:sz w:val="24"/>
                <w:szCs w:val="24"/>
              </w:rPr>
            </w:pPr>
            <w:r>
              <w:rPr>
                <w:b w:val="0"/>
                <w:bCs/>
                <w:sz w:val="24"/>
                <w:szCs w:val="24"/>
              </w:rPr>
              <w:t xml:space="preserve">Students will explore this question through one environmental issue connected to DKU and the wider Jiangsu/Yangtze River Delta region, such as extreme heat, water quality, plastic and waste pollution, or urban biodiversity. The team will choose the final case after reviewing its local relevance, the available scientific evidence, and how the issue is already being communicated. This will give students the opportunity to investigate a broader question about environmental communication through a problem that is tangible in the region where they live and study. </w:t>
            </w:r>
          </w:p>
          <w:p w14:paraId="0540F758">
            <w:pPr>
              <w:numPr>
                <w:ilvl w:val="0"/>
                <w:numId w:val="0"/>
              </w:numPr>
              <w:spacing w:after="0" w:line="276" w:lineRule="auto"/>
              <w:rPr>
                <w:b w:val="0"/>
                <w:bCs/>
                <w:sz w:val="24"/>
                <w:szCs w:val="24"/>
              </w:rPr>
            </w:pPr>
          </w:p>
          <w:p w14:paraId="787EF74F">
            <w:pPr>
              <w:numPr>
                <w:ilvl w:val="0"/>
                <w:numId w:val="0"/>
              </w:numPr>
              <w:spacing w:after="0" w:line="276" w:lineRule="auto"/>
              <w:rPr>
                <w:b w:val="0"/>
                <w:bCs/>
                <w:sz w:val="24"/>
                <w:szCs w:val="24"/>
              </w:rPr>
            </w:pPr>
            <w:r>
              <w:rPr>
                <w:b w:val="0"/>
                <w:bCs/>
                <w:sz w:val="24"/>
                <w:szCs w:val="24"/>
              </w:rPr>
              <w:t xml:space="preserve">The project will begin by looking at existing communication. Students will conduct a focused literature review and collect a manageable sample of materials related to their chosen issue, such as news coverage, public-information materials, photographs, maps, infographics, and social-media content. They will then analyze how these materials communicate environmental problems: What kinds of evidence do they use? Do they rely on data, personal stories, images of particular places, or emotional appeals? How do they communicate risk, uncertainty, responsibility, or possible solutions? Building on this analysis, students will select a few contrasting ways of presenting the same environmental information and examine how young adults respond to them. </w:t>
            </w:r>
          </w:p>
          <w:p w14:paraId="1475DC0D">
            <w:pPr>
              <w:numPr>
                <w:ilvl w:val="0"/>
                <w:numId w:val="0"/>
              </w:numPr>
              <w:spacing w:after="0" w:line="276" w:lineRule="auto"/>
              <w:rPr>
                <w:b w:val="0"/>
                <w:bCs/>
                <w:sz w:val="24"/>
                <w:szCs w:val="24"/>
              </w:rPr>
            </w:pPr>
          </w:p>
          <w:p w14:paraId="33EA6054">
            <w:pPr>
              <w:numPr>
                <w:ilvl w:val="0"/>
                <w:numId w:val="0"/>
              </w:numPr>
              <w:spacing w:after="0" w:line="276" w:lineRule="auto"/>
              <w:rPr>
                <w:b w:val="0"/>
                <w:bCs/>
                <w:sz w:val="24"/>
                <w:szCs w:val="24"/>
              </w:rPr>
            </w:pPr>
            <w:r>
              <w:rPr>
                <w:b w:val="0"/>
                <w:bCs/>
                <w:sz w:val="24"/>
                <w:szCs w:val="24"/>
              </w:rPr>
              <w:t xml:space="preserve">They might, for example, compare a data-centered approach using maps or graphs with a human-centered approach built around personal experience or a place-centered approach showing environmental change in a recognizable setting. Subject to DKU IRB approval, a small pilot study within the DKU community will explore differences in understanding, credibility, relevance, and interest in learning more. </w:t>
            </w:r>
          </w:p>
          <w:p w14:paraId="62B57674">
            <w:pPr>
              <w:numPr>
                <w:ilvl w:val="0"/>
                <w:numId w:val="0"/>
              </w:numPr>
              <w:spacing w:after="0" w:line="276" w:lineRule="auto"/>
              <w:rPr>
                <w:b w:val="0"/>
                <w:bCs/>
                <w:sz w:val="24"/>
                <w:szCs w:val="24"/>
              </w:rPr>
            </w:pPr>
          </w:p>
          <w:p w14:paraId="32A9BB88">
            <w:pPr>
              <w:numPr>
                <w:ilvl w:val="0"/>
                <w:numId w:val="0"/>
              </w:numPr>
              <w:spacing w:after="0" w:line="276" w:lineRule="auto"/>
              <w:rPr>
                <w:b w:val="0"/>
                <w:bCs/>
                <w:sz w:val="24"/>
                <w:szCs w:val="24"/>
              </w:rPr>
            </w:pPr>
            <w:r>
              <w:rPr>
                <w:b w:val="0"/>
                <w:bCs/>
                <w:sz w:val="24"/>
                <w:szCs w:val="24"/>
              </w:rPr>
              <w:t xml:space="preserve">The aim is not to identify one universally “best” format, but to understand what different forms of communication do well and where they fall short. The final stage will bring the research back into practice. Students will use their findings to create a small set of environmental communication prototypes. </w:t>
            </w:r>
          </w:p>
          <w:p w14:paraId="2FEA6559">
            <w:pPr>
              <w:numPr>
                <w:ilvl w:val="0"/>
                <w:numId w:val="0"/>
              </w:numPr>
              <w:spacing w:after="0" w:line="276" w:lineRule="auto"/>
              <w:rPr>
                <w:b w:val="0"/>
                <w:bCs/>
                <w:sz w:val="24"/>
                <w:szCs w:val="24"/>
              </w:rPr>
            </w:pPr>
          </w:p>
          <w:p w14:paraId="77D90B8E">
            <w:pPr>
              <w:numPr>
                <w:ilvl w:val="0"/>
                <w:numId w:val="0"/>
              </w:numPr>
              <w:spacing w:after="0" w:line="276" w:lineRule="auto"/>
              <w:rPr>
                <w:b w:val="0"/>
                <w:bCs/>
                <w:sz w:val="24"/>
                <w:szCs w:val="24"/>
              </w:rPr>
            </w:pPr>
            <w:r>
              <w:rPr>
                <w:b w:val="0"/>
                <w:bCs/>
                <w:sz w:val="24"/>
                <w:szCs w:val="24"/>
              </w:rPr>
              <w:t xml:space="preserve">If one approach makes scientific evidence particularly clear while another makes an issue feel more immediate, for example, they can experiment with combining those strengths. The prototypes can then be tested on a small scale and refined. In this way, the project moves from studying communication, to testing it, to creating something new based on the evidence. Rather than asking students simply to produce an environmental campaign or design attractive materials, the project asks them to investigate what makes environmental communication meaningful and credible before deciding what to create. </w:t>
            </w:r>
          </w:p>
          <w:p w14:paraId="1472EB8F">
            <w:pPr>
              <w:numPr>
                <w:ilvl w:val="0"/>
                <w:numId w:val="0"/>
              </w:numPr>
              <w:spacing w:after="0" w:line="276" w:lineRule="auto"/>
              <w:rPr>
                <w:b w:val="0"/>
                <w:bCs/>
                <w:sz w:val="24"/>
                <w:szCs w:val="24"/>
              </w:rPr>
            </w:pPr>
          </w:p>
          <w:p w14:paraId="18A075E0">
            <w:pPr>
              <w:numPr>
                <w:ilvl w:val="0"/>
                <w:numId w:val="0"/>
              </w:numPr>
              <w:spacing w:after="0" w:line="276" w:lineRule="auto"/>
              <w:rPr>
                <w:b w:val="0"/>
                <w:bCs/>
                <w:sz w:val="24"/>
                <w:szCs w:val="24"/>
              </w:rPr>
            </w:pPr>
            <w:r>
              <w:rPr>
                <w:b w:val="0"/>
                <w:bCs/>
                <w:sz w:val="24"/>
                <w:szCs w:val="24"/>
              </w:rPr>
              <w:t xml:space="preserve">Students will be involved throughout the research process: choosing the environmental case, refining the research questions, reviewing the literature, collecting and analyzing materials, developing the audience study, interpreting the findings, and creating the final outputs. I will supervise the research design and provide guidance in environmental and science communication, media analysis, qualitative and mixed research methods, research ethics, and the interpretation and presentation of findings. </w:t>
            </w:r>
          </w:p>
          <w:p w14:paraId="178F452F">
            <w:pPr>
              <w:numPr>
                <w:ilvl w:val="0"/>
                <w:numId w:val="0"/>
              </w:numPr>
              <w:spacing w:after="0" w:line="276" w:lineRule="auto"/>
              <w:rPr>
                <w:b w:val="0"/>
                <w:bCs/>
                <w:sz w:val="24"/>
                <w:szCs w:val="24"/>
              </w:rPr>
            </w:pPr>
          </w:p>
          <w:p w14:paraId="56D0457B">
            <w:pPr>
              <w:numPr>
                <w:ilvl w:val="0"/>
                <w:numId w:val="0"/>
              </w:numPr>
              <w:spacing w:after="0" w:line="276" w:lineRule="auto"/>
              <w:rPr>
                <w:b w:val="0"/>
                <w:bCs/>
                <w:sz w:val="24"/>
                <w:szCs w:val="24"/>
              </w:rPr>
            </w:pPr>
            <w:r>
              <w:rPr>
                <w:b w:val="0"/>
                <w:bCs/>
                <w:sz w:val="24"/>
                <w:szCs w:val="24"/>
              </w:rPr>
              <w:t>The project is designed to be ambitious but manageable within one year. It focuses on one environmental issue, a relatively small body of communication materials, a pilot audience study, and a limited number of final prototypes. Most of the work can be carried out at DKU using publicly available materials and standard research tools. By the end of the project, students will have completed a full research process while producing both original findings and practical communication materials that could be shared within the DKU community and potentially developed further in future research.</w:t>
            </w:r>
          </w:p>
          <w:p w14:paraId="6233FF43">
            <w:pPr>
              <w:numPr>
                <w:ilvl w:val="0"/>
                <w:numId w:val="0"/>
              </w:numPr>
              <w:spacing w:after="0" w:line="276" w:lineRule="auto"/>
              <w:rPr>
                <w:b w:val="0"/>
                <w:bCs/>
                <w:sz w:val="24"/>
                <w:szCs w:val="24"/>
              </w:rPr>
            </w:pP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b/>
                <w:bCs w:val="0"/>
                <w:sz w:val="24"/>
                <w:szCs w:val="24"/>
              </w:rPr>
            </w:pPr>
            <w:r>
              <w:rPr>
                <w:b/>
                <w:bCs w:val="0"/>
                <w:sz w:val="24"/>
                <w:szCs w:val="24"/>
              </w:rPr>
              <w:t>Expected outcome(s)</w:t>
            </w:r>
          </w:p>
          <w:p w14:paraId="7E4001F4">
            <w:pPr>
              <w:spacing w:after="0" w:line="276" w:lineRule="auto"/>
              <w:ind w:left="0"/>
              <w:rPr>
                <w:b w:val="0"/>
                <w:bCs/>
                <w:sz w:val="24"/>
                <w:szCs w:val="24"/>
              </w:rPr>
            </w:pPr>
          </w:p>
          <w:p w14:paraId="4BD8B0ED">
            <w:pPr>
              <w:numPr>
                <w:ilvl w:val="0"/>
                <w:numId w:val="0"/>
              </w:numPr>
              <w:spacing w:line="276" w:lineRule="auto"/>
              <w:ind w:leftChars="0"/>
              <w:rPr>
                <w:b w:val="0"/>
                <w:bCs/>
                <w:sz w:val="24"/>
                <w:szCs w:val="24"/>
              </w:rPr>
            </w:pPr>
            <w:r>
              <w:rPr>
                <w:b w:val="0"/>
                <w:bCs/>
                <w:sz w:val="24"/>
                <w:szCs w:val="24"/>
              </w:rPr>
              <w:t xml:space="preserve">The project is expected to produce: </w:t>
            </w:r>
          </w:p>
          <w:p w14:paraId="02C644E6">
            <w:pPr>
              <w:numPr>
                <w:ilvl w:val="0"/>
                <w:numId w:val="0"/>
              </w:numPr>
              <w:spacing w:line="276" w:lineRule="auto"/>
              <w:ind w:leftChars="0"/>
              <w:rPr>
                <w:b w:val="0"/>
                <w:bCs/>
                <w:sz w:val="24"/>
                <w:szCs w:val="24"/>
              </w:rPr>
            </w:pPr>
            <w:r>
              <w:rPr>
                <w:b w:val="0"/>
                <w:bCs/>
                <w:sz w:val="24"/>
                <w:szCs w:val="24"/>
              </w:rPr>
              <w:t xml:space="preserve">1. A student-authored research report presenting the research question, methodology, findings, and implications for environmental communication. </w:t>
            </w:r>
          </w:p>
          <w:p w14:paraId="18D90A85">
            <w:pPr>
              <w:numPr>
                <w:ilvl w:val="0"/>
                <w:numId w:val="0"/>
              </w:numPr>
              <w:spacing w:line="276" w:lineRule="auto"/>
              <w:ind w:leftChars="0"/>
              <w:rPr>
                <w:b w:val="0"/>
                <w:bCs/>
                <w:sz w:val="24"/>
                <w:szCs w:val="24"/>
              </w:rPr>
            </w:pPr>
            <w:r>
              <w:rPr>
                <w:b w:val="0"/>
                <w:bCs/>
                <w:sz w:val="24"/>
                <w:szCs w:val="24"/>
              </w:rPr>
              <w:t xml:space="preserve">2. A small, structured dataset of visual and digital materials showing how the selected environmental issue is communicated, together with the coding framework developed by the student team. </w:t>
            </w:r>
          </w:p>
          <w:p w14:paraId="4E89F3F1">
            <w:pPr>
              <w:numPr>
                <w:ilvl w:val="0"/>
                <w:numId w:val="0"/>
              </w:numPr>
              <w:spacing w:line="276" w:lineRule="auto"/>
              <w:ind w:leftChars="0"/>
              <w:rPr>
                <w:b w:val="0"/>
                <w:bCs/>
                <w:sz w:val="24"/>
                <w:szCs w:val="24"/>
              </w:rPr>
            </w:pPr>
            <w:r>
              <w:rPr>
                <w:b w:val="0"/>
                <w:bCs/>
                <w:sz w:val="24"/>
                <w:szCs w:val="24"/>
              </w:rPr>
              <w:t xml:space="preserve">3. A pilot audience study examining how different communication approaches shape understanding, credibility, relevance, and interest in learning more. </w:t>
            </w:r>
          </w:p>
          <w:p w14:paraId="1CA1E6AF">
            <w:pPr>
              <w:numPr>
                <w:ilvl w:val="0"/>
                <w:numId w:val="0"/>
              </w:numPr>
              <w:spacing w:line="276" w:lineRule="auto"/>
              <w:ind w:leftChars="0"/>
              <w:rPr>
                <w:b w:val="0"/>
                <w:bCs/>
                <w:sz w:val="24"/>
                <w:szCs w:val="24"/>
              </w:rPr>
            </w:pPr>
            <w:r>
              <w:rPr>
                <w:b w:val="0"/>
                <w:bCs/>
                <w:sz w:val="24"/>
                <w:szCs w:val="24"/>
              </w:rPr>
              <w:t xml:space="preserve">4. A portfolio of 3–5 environmental communication prototypes developed from the research findings and refined through small-scale testing. </w:t>
            </w:r>
          </w:p>
          <w:p w14:paraId="20521D1D">
            <w:pPr>
              <w:numPr>
                <w:ilvl w:val="0"/>
                <w:numId w:val="0"/>
              </w:numPr>
              <w:spacing w:line="276" w:lineRule="auto"/>
              <w:ind w:leftChars="0"/>
              <w:rPr>
                <w:b w:val="0"/>
                <w:bCs/>
                <w:sz w:val="24"/>
                <w:szCs w:val="24"/>
              </w:rPr>
            </w:pPr>
            <w:r>
              <w:rPr>
                <w:b w:val="0"/>
                <w:bCs/>
                <w:sz w:val="24"/>
                <w:szCs w:val="24"/>
              </w:rPr>
              <w:t>5. A short practical guide, Seeing Sustainability: A Student Guide to Environmental Communication, bringing together the main findings, examples, and recommendations emerging from the project.</w:t>
            </w:r>
          </w:p>
          <w:p w14:paraId="4A84C9E4">
            <w:pPr>
              <w:numPr>
                <w:ilvl w:val="0"/>
                <w:numId w:val="0"/>
              </w:numPr>
              <w:spacing w:line="276" w:lineRule="auto"/>
              <w:ind w:leftChars="0"/>
              <w:rPr>
                <w:b w:val="0"/>
                <w:bCs/>
                <w:sz w:val="24"/>
                <w:szCs w:val="24"/>
              </w:rPr>
            </w:pPr>
            <w:r>
              <w:rPr>
                <w:b w:val="0"/>
                <w:bCs/>
                <w:sz w:val="24"/>
                <w:szCs w:val="24"/>
              </w:rPr>
              <w:t xml:space="preserve"> 6. A final research presentation at DKU or another appropriate undergraduate research or innovation venue. As the outcomes are directly connected to each other, if the findings are sufficiently strong, the team may also develop the project into an undergraduate conference submission or a co-authored research paper.</w:t>
            </w:r>
          </w:p>
        </w:tc>
      </w:tr>
      <w:tr w14:paraId="71E44ED2">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2426DD94">
            <w:pPr>
              <w:numPr>
                <w:ilvl w:val="0"/>
                <w:numId w:val="0"/>
              </w:numPr>
              <w:spacing w:line="276" w:lineRule="auto"/>
              <w:ind w:leftChars="0"/>
              <w:rPr>
                <w:b/>
                <w:bCs w:val="0"/>
                <w:sz w:val="24"/>
                <w:szCs w:val="24"/>
              </w:rPr>
            </w:pPr>
            <w:r>
              <w:rPr>
                <w:b/>
                <w:bCs w:val="0"/>
                <w:sz w:val="24"/>
                <w:szCs w:val="24"/>
              </w:rPr>
              <w:t>Requirements for student applicants</w:t>
            </w:r>
          </w:p>
          <w:p w14:paraId="46B12975">
            <w:pPr>
              <w:numPr>
                <w:ilvl w:val="0"/>
                <w:numId w:val="0"/>
              </w:numPr>
              <w:spacing w:line="276" w:lineRule="auto"/>
              <w:ind w:leftChars="0"/>
              <w:rPr>
                <w:b w:val="0"/>
                <w:bCs/>
                <w:sz w:val="24"/>
                <w:szCs w:val="24"/>
              </w:rPr>
            </w:pPr>
            <w:r>
              <w:rPr>
                <w:b w:val="0"/>
                <w:bCs/>
                <w:sz w:val="24"/>
                <w:szCs w:val="24"/>
              </w:rPr>
              <w:t>The project is open to students from any academic background. Students with interests in environmental studies, media and communication, social sciences, data analysis, visual communication, or digital media may find the project particularly relevant. No advanced technical skills or previous research experience are required. Students should be curious about environmental issues and communication, willing to learn basic research methods, and comfortable working collaboratively. Experience with qualitative or quantitative research, visual design, photography, or digital media would be useful but is not required. I would particularly welcome a team whose members bring different interests and skills to the project.</w:t>
            </w:r>
          </w:p>
        </w:tc>
      </w:tr>
      <w:tr w14:paraId="7A45BA1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1A6A25F">
            <w:pPr>
              <w:numPr>
                <w:ilvl w:val="0"/>
                <w:numId w:val="0"/>
              </w:numPr>
              <w:spacing w:line="276" w:lineRule="auto"/>
              <w:ind w:leftChars="0"/>
              <w:rPr>
                <w:b/>
                <w:bCs w:val="0"/>
                <w:sz w:val="24"/>
                <w:szCs w:val="24"/>
              </w:rPr>
            </w:pPr>
            <w:r>
              <w:rPr>
                <w:rFonts w:hint="eastAsia" w:eastAsia="SimSun"/>
                <w:b/>
                <w:bCs w:val="0"/>
                <w:sz w:val="24"/>
                <w:szCs w:val="24"/>
                <w:lang w:val="en-US" w:eastAsia="zh-CN"/>
              </w:rPr>
              <w:t xml:space="preserve">Any </w:t>
            </w:r>
            <w:r>
              <w:rPr>
                <w:b/>
                <w:bCs w:val="0"/>
                <w:sz w:val="24"/>
                <w:szCs w:val="24"/>
              </w:rPr>
              <w:t xml:space="preserve">additional requirements for </w:t>
            </w:r>
            <w:r>
              <w:rPr>
                <w:rFonts w:hint="eastAsia" w:eastAsia="SimSun"/>
                <w:b/>
                <w:bCs w:val="0"/>
                <w:sz w:val="24"/>
                <w:szCs w:val="24"/>
                <w:lang w:val="en-US" w:eastAsia="zh-CN"/>
              </w:rPr>
              <w:t xml:space="preserve">the </w:t>
            </w:r>
            <w:r>
              <w:rPr>
                <w:b/>
                <w:bCs w:val="0"/>
                <w:sz w:val="24"/>
                <w:szCs w:val="24"/>
              </w:rPr>
              <w:t>project</w:t>
            </w:r>
          </w:p>
          <w:p w14:paraId="70333FB8">
            <w:pPr>
              <w:numPr>
                <w:ilvl w:val="0"/>
                <w:numId w:val="0"/>
              </w:numPr>
              <w:spacing w:line="276" w:lineRule="auto"/>
              <w:ind w:leftChars="0"/>
              <w:rPr>
                <w:b/>
                <w:bCs w:val="0"/>
                <w:sz w:val="24"/>
                <w:szCs w:val="24"/>
              </w:rPr>
            </w:pPr>
            <w:r>
              <w:rPr>
                <w:b w:val="0"/>
                <w:bCs/>
                <w:sz w:val="24"/>
                <w:szCs w:val="24"/>
              </w:rPr>
              <w:t>I would welcome Dii support in recruiting a small interdisciplinary team of students with complementary interests. The project does not require students from a particular major, and previous research experience is not necessary. Any research involving human participants will only begin after appropriate DKU IRB approval. The specific scope of the audience study and final communication outputs will be adjusted to the interests and skills of the student team and to what is feasible within the project timeline.</w:t>
            </w:r>
          </w:p>
        </w:tc>
      </w:tr>
    </w:tbl>
    <w:p w14:paraId="74835A65">
      <w:pPr>
        <w:spacing w:after="0" w:line="276" w:lineRule="auto"/>
        <w:ind w:left="0" w:right="117"/>
      </w:pPr>
    </w:p>
    <w:p w14:paraId="4DEB39E6">
      <w:pPr>
        <w:ind w:left="-142"/>
        <w:rPr>
          <w:sz w:val="24"/>
        </w:rPr>
      </w:pPr>
    </w:p>
    <w:p w14:paraId="6C7860FB">
      <w:bookmarkStart w:id="0" w:name="_GoBack"/>
      <w:bookmarkEnd w:id="0"/>
    </w:p>
    <w:p w14:paraId="066287D5">
      <w:pPr>
        <w:ind w:left="0" w:leftChars="0" w:firstLine="0" w:firstLineChars="0"/>
      </w:pPr>
    </w:p>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6133F"/>
    <w:rsid w:val="01980129"/>
    <w:rsid w:val="0E661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character" w:styleId="5">
    <w:name w:val="Hyperlink"/>
    <w:basedOn w:val="4"/>
    <w:unhideWhenUsed/>
    <w:qFormat/>
    <w:uiPriority w:val="99"/>
    <w:rPr>
      <w:color w:val="0026E5" w:themeColor="hyperlink"/>
      <w:u w:val="single"/>
      <w14:textFill>
        <w14:solidFill>
          <w14:schemeClr w14:val="hlink"/>
        </w14:solidFill>
      </w14:textFill>
    </w:rPr>
  </w:style>
  <w:style w:type="table" w:customStyle="1" w:styleId="6">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128</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2026-09-10T03:53:00Z</dcterms:created>
  <dc:creator>Alice</dc:creator>
  <cp:lastModifiedBy>Alice</cp:lastModifiedBy>
  <dcterms:modified xsi:type="dcterms:W3CDTF">2026-09-10T06:40:56Z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6168F54168F94286810EA5081BDA9601_13</vt:lpwstr>
  </property>
  <property fmtid="{D5CDD505-2E9C-101B-9397-08002B2CF9AE}" pid="4" name="KSOTemplateDocerSaveRecord">
    <vt:lpwstr>eyJoZGlkIjoiOTEyNmRhZDE4MDIxZjg1ODk1ZTNkNTI4MTg0NWY5NDkiLCJ1c2VySWQiOiIzMjA4MTIwMiJ9</vt:lpwstr>
  </property>
</Properties>
</file>