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A5E99">
      <w:pPr>
        <w:spacing w:line="276" w:lineRule="auto"/>
      </w:pPr>
      <w:r>
        <w:t>Faculty Project Information</w:t>
      </w:r>
    </w:p>
    <w:tbl>
      <w:tblPr>
        <w:tblStyle w:val="6"/>
        <w:tblW w:w="9351" w:type="dxa"/>
        <w:tblInd w:w="-108" w:type="dxa"/>
        <w:tblLayout w:type="autofit"/>
        <w:tblCellMar>
          <w:top w:w="15" w:type="dxa"/>
          <w:left w:w="108" w:type="dxa"/>
          <w:bottom w:w="0" w:type="dxa"/>
          <w:right w:w="115" w:type="dxa"/>
        </w:tblCellMar>
      </w:tblPr>
      <w:tblGrid>
        <w:gridCol w:w="2385"/>
        <w:gridCol w:w="6966"/>
      </w:tblGrid>
      <w:tr w14:paraId="75FDD330">
        <w:tblPrEx>
          <w:tblCellMar>
            <w:top w:w="15" w:type="dxa"/>
            <w:left w:w="108" w:type="dxa"/>
            <w:bottom w:w="0" w:type="dxa"/>
            <w:right w:w="115" w:type="dxa"/>
          </w:tblCellMar>
        </w:tblPrEx>
        <w:trPr>
          <w:trHeight w:val="91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13C00F8">
            <w:pPr>
              <w:spacing w:after="0" w:line="276" w:lineRule="auto"/>
              <w:ind w:left="0"/>
              <w:rPr>
                <w:b w:val="0"/>
                <w:bCs/>
                <w:sz w:val="24"/>
                <w:szCs w:val="24"/>
              </w:rPr>
            </w:pPr>
            <w:r>
              <w:rPr>
                <w:b/>
                <w:bCs w:val="0"/>
                <w:sz w:val="24"/>
                <w:szCs w:val="24"/>
              </w:rPr>
              <w:t>AI at the Front Desk: How Government Chatbots Reshape Citizen Voice and Public Trust</w:t>
            </w:r>
          </w:p>
        </w:tc>
      </w:tr>
      <w:tr w14:paraId="697F97A5">
        <w:tblPrEx>
          <w:tblCellMar>
            <w:top w:w="15" w:type="dxa"/>
            <w:left w:w="108" w:type="dxa"/>
            <w:bottom w:w="0" w:type="dxa"/>
            <w:right w:w="115" w:type="dxa"/>
          </w:tblCellMar>
        </w:tblPrEx>
        <w:trPr>
          <w:trHeight w:val="627" w:hRule="atLeast"/>
        </w:trPr>
        <w:tc>
          <w:tcPr>
            <w:tcW w:w="2385" w:type="dxa"/>
            <w:tcBorders>
              <w:top w:val="single" w:color="000000" w:sz="4" w:space="0"/>
              <w:left w:val="single" w:color="000000" w:sz="4" w:space="0"/>
              <w:bottom w:val="single" w:color="000000" w:sz="4" w:space="0"/>
              <w:right w:val="single" w:color="000000" w:sz="4" w:space="0"/>
            </w:tcBorders>
          </w:tcPr>
          <w:p w14:paraId="259BDDA0">
            <w:pPr>
              <w:spacing w:after="0" w:line="276" w:lineRule="auto"/>
              <w:ind w:left="0"/>
              <w:rPr>
                <w:b w:val="0"/>
                <w:bCs/>
                <w:sz w:val="24"/>
                <w:szCs w:val="24"/>
              </w:rPr>
            </w:pPr>
            <w:r>
              <w:rPr>
                <w:b/>
                <w:bCs w:val="0"/>
                <w:sz w:val="24"/>
                <w:szCs w:val="24"/>
              </w:rPr>
              <w:t>Faculty Name:</w:t>
            </w:r>
          </w:p>
        </w:tc>
        <w:tc>
          <w:tcPr>
            <w:tcW w:w="6966" w:type="dxa"/>
            <w:tcBorders>
              <w:top w:val="single" w:color="000000" w:sz="4" w:space="0"/>
              <w:left w:val="single" w:color="000000" w:sz="4" w:space="0"/>
              <w:bottom w:val="single" w:color="000000" w:sz="4" w:space="0"/>
              <w:right w:val="single" w:color="000000" w:sz="4" w:space="0"/>
            </w:tcBorders>
          </w:tcPr>
          <w:p w14:paraId="67921013">
            <w:pPr>
              <w:spacing w:after="0" w:line="276" w:lineRule="auto"/>
              <w:ind w:left="1"/>
              <w:rPr>
                <w:b w:val="0"/>
                <w:bCs/>
                <w:sz w:val="24"/>
                <w:szCs w:val="24"/>
              </w:rPr>
            </w:pPr>
            <w:bookmarkStart w:id="0" w:name="_GoBack"/>
            <w:r>
              <w:rPr>
                <w:b w:val="0"/>
                <w:bCs/>
                <w:sz w:val="24"/>
                <w:szCs w:val="24"/>
              </w:rPr>
              <w:t>Chen Zhang</w:t>
            </w:r>
            <w:bookmarkEnd w:id="0"/>
            <w:r>
              <w:rPr>
                <w:b w:val="0"/>
                <w:bCs/>
                <w:sz w:val="24"/>
                <w:szCs w:val="24"/>
              </w:rPr>
              <w:t>, Ph.D.</w:t>
            </w:r>
          </w:p>
        </w:tc>
      </w:tr>
      <w:tr w14:paraId="4694A1E2">
        <w:tblPrEx>
          <w:tblCellMar>
            <w:top w:w="15" w:type="dxa"/>
            <w:left w:w="108" w:type="dxa"/>
            <w:bottom w:w="0" w:type="dxa"/>
            <w:right w:w="115" w:type="dxa"/>
          </w:tblCellMar>
        </w:tblPrEx>
        <w:trPr>
          <w:trHeight w:val="578" w:hRule="atLeast"/>
        </w:trPr>
        <w:tc>
          <w:tcPr>
            <w:tcW w:w="2385" w:type="dxa"/>
            <w:tcBorders>
              <w:top w:val="single" w:color="000000" w:sz="4" w:space="0"/>
              <w:left w:val="single" w:color="000000" w:sz="4" w:space="0"/>
              <w:bottom w:val="single" w:color="000000" w:sz="4" w:space="0"/>
              <w:right w:val="single" w:color="000000" w:sz="4" w:space="0"/>
            </w:tcBorders>
          </w:tcPr>
          <w:p w14:paraId="5EE9809D">
            <w:pPr>
              <w:spacing w:after="0" w:line="276" w:lineRule="auto"/>
              <w:ind w:left="0"/>
              <w:rPr>
                <w:b w:val="0"/>
                <w:bCs/>
                <w:sz w:val="24"/>
                <w:szCs w:val="24"/>
              </w:rPr>
            </w:pPr>
            <w:r>
              <w:rPr>
                <w:b/>
                <w:bCs w:val="0"/>
                <w:sz w:val="24"/>
                <w:szCs w:val="24"/>
              </w:rPr>
              <w:t>Faculty Email:</w:t>
            </w:r>
          </w:p>
        </w:tc>
        <w:tc>
          <w:tcPr>
            <w:tcW w:w="6966" w:type="dxa"/>
            <w:tcBorders>
              <w:top w:val="single" w:color="000000" w:sz="4" w:space="0"/>
              <w:left w:val="single" w:color="000000" w:sz="4" w:space="0"/>
              <w:bottom w:val="single" w:color="000000" w:sz="4" w:space="0"/>
              <w:right w:val="single" w:color="000000" w:sz="4" w:space="0"/>
            </w:tcBorders>
          </w:tcPr>
          <w:p w14:paraId="744FDB3B">
            <w:pPr>
              <w:pStyle w:val="2"/>
              <w:spacing w:line="276" w:lineRule="auto"/>
              <w:rPr>
                <w:rFonts w:hint="default"/>
                <w:b w:val="0"/>
                <w:bCs/>
                <w:sz w:val="24"/>
                <w:szCs w:val="24"/>
              </w:rPr>
            </w:pPr>
            <w:r>
              <w:rPr>
                <w:rFonts w:hint="default"/>
                <w:b w:val="0"/>
                <w:bCs/>
                <w:sz w:val="24"/>
                <w:szCs w:val="24"/>
              </w:rPr>
              <w:fldChar w:fldCharType="begin"/>
            </w:r>
            <w:r>
              <w:rPr>
                <w:rFonts w:hint="default"/>
                <w:b w:val="0"/>
                <w:bCs/>
                <w:sz w:val="24"/>
                <w:szCs w:val="24"/>
              </w:rPr>
              <w:instrText xml:space="preserve"> HYPERLINK "mailto:chen.zhang.cz@dukekunshan.edu.cn" \t "https://dukekunshan.formstack.com/admin/submission/view/1494589532/_blank" </w:instrText>
            </w:r>
            <w:r>
              <w:rPr>
                <w:rFonts w:hint="default"/>
                <w:b w:val="0"/>
                <w:bCs/>
                <w:sz w:val="24"/>
                <w:szCs w:val="24"/>
              </w:rPr>
              <w:fldChar w:fldCharType="separate"/>
            </w:r>
            <w:r>
              <w:rPr>
                <w:rFonts w:hint="default"/>
                <w:b w:val="0"/>
                <w:bCs/>
                <w:sz w:val="24"/>
                <w:szCs w:val="24"/>
              </w:rPr>
              <w:t>chen.zhang.cz@dukekunshan.edu.cn</w:t>
            </w:r>
            <w:r>
              <w:rPr>
                <w:rFonts w:hint="default"/>
                <w:b w:val="0"/>
                <w:bCs/>
                <w:sz w:val="24"/>
                <w:szCs w:val="24"/>
              </w:rPr>
              <w:fldChar w:fldCharType="end"/>
            </w:r>
          </w:p>
        </w:tc>
      </w:tr>
      <w:tr w14:paraId="0BD497E6">
        <w:tblPrEx>
          <w:tblCellMar>
            <w:top w:w="15" w:type="dxa"/>
            <w:left w:w="108" w:type="dxa"/>
            <w:bottom w:w="0" w:type="dxa"/>
            <w:right w:w="115" w:type="dxa"/>
          </w:tblCellMar>
        </w:tblPrEx>
        <w:trPr>
          <w:trHeight w:val="657" w:hRule="atLeast"/>
        </w:trPr>
        <w:tc>
          <w:tcPr>
            <w:tcW w:w="2385" w:type="dxa"/>
            <w:tcBorders>
              <w:top w:val="single" w:color="000000" w:sz="4" w:space="0"/>
              <w:left w:val="single" w:color="000000" w:sz="4" w:space="0"/>
              <w:bottom w:val="single" w:color="000000" w:sz="4" w:space="0"/>
              <w:right w:val="single" w:color="000000" w:sz="4" w:space="0"/>
            </w:tcBorders>
          </w:tcPr>
          <w:p w14:paraId="4F1335C4">
            <w:pPr>
              <w:spacing w:after="0" w:line="276" w:lineRule="auto"/>
              <w:ind w:left="0"/>
              <w:rPr>
                <w:b w:val="0"/>
                <w:bCs/>
                <w:sz w:val="24"/>
                <w:szCs w:val="24"/>
              </w:rPr>
            </w:pPr>
            <w:r>
              <w:rPr>
                <w:b/>
                <w:bCs w:val="0"/>
                <w:sz w:val="24"/>
                <w:szCs w:val="24"/>
              </w:rPr>
              <w:t>Research Field:</w:t>
            </w:r>
          </w:p>
        </w:tc>
        <w:tc>
          <w:tcPr>
            <w:tcW w:w="6966" w:type="dxa"/>
            <w:tcBorders>
              <w:top w:val="single" w:color="000000" w:sz="4" w:space="0"/>
              <w:left w:val="single" w:color="000000" w:sz="4" w:space="0"/>
              <w:bottom w:val="single" w:color="000000" w:sz="4" w:space="0"/>
              <w:right w:val="single" w:color="000000" w:sz="4" w:space="0"/>
            </w:tcBorders>
          </w:tcPr>
          <w:p w14:paraId="2F0271CD">
            <w:pPr>
              <w:spacing w:after="0" w:line="276" w:lineRule="auto"/>
              <w:ind w:left="1"/>
              <w:rPr>
                <w:b w:val="0"/>
                <w:bCs/>
                <w:sz w:val="24"/>
                <w:szCs w:val="24"/>
              </w:rPr>
            </w:pPr>
            <w:r>
              <w:rPr>
                <w:b w:val="0"/>
                <w:bCs/>
                <w:sz w:val="24"/>
                <w:szCs w:val="24"/>
              </w:rPr>
              <w:t>Urban Governance, Smart Urbanism, Urbanization</w:t>
            </w:r>
          </w:p>
        </w:tc>
      </w:tr>
      <w:tr w14:paraId="0F065255">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770DE4D">
            <w:pPr>
              <w:spacing w:after="0" w:line="276" w:lineRule="auto"/>
              <w:ind w:left="0"/>
              <w:rPr>
                <w:b/>
                <w:bCs w:val="0"/>
                <w:sz w:val="24"/>
                <w:szCs w:val="24"/>
              </w:rPr>
            </w:pPr>
            <w:r>
              <w:rPr>
                <w:b/>
                <w:bCs w:val="0"/>
                <w:sz w:val="24"/>
                <w:szCs w:val="24"/>
              </w:rPr>
              <w:t>Brief Description</w:t>
            </w:r>
          </w:p>
          <w:p w14:paraId="3B46A0E9">
            <w:pPr>
              <w:numPr>
                <w:ilvl w:val="0"/>
                <w:numId w:val="0"/>
              </w:numPr>
              <w:spacing w:after="0" w:line="276" w:lineRule="auto"/>
              <w:rPr>
                <w:b w:val="0"/>
                <w:bCs/>
                <w:sz w:val="24"/>
                <w:szCs w:val="24"/>
              </w:rPr>
            </w:pPr>
          </w:p>
          <w:p w14:paraId="626BA4BB">
            <w:pPr>
              <w:numPr>
                <w:ilvl w:val="0"/>
                <w:numId w:val="0"/>
              </w:numPr>
              <w:spacing w:after="0" w:line="276" w:lineRule="auto"/>
              <w:rPr>
                <w:b w:val="0"/>
                <w:bCs/>
                <w:sz w:val="24"/>
                <w:szCs w:val="24"/>
              </w:rPr>
            </w:pPr>
            <w:r>
              <w:rPr>
                <w:b w:val="0"/>
                <w:bCs/>
                <w:sz w:val="24"/>
                <w:szCs w:val="24"/>
              </w:rPr>
              <w:t xml:space="preserve">Governments increasingly use AI-assisted chatbots to answer questions, process service requests, and communicate with citizens. Yet we know much less about whether interacting with an AI government representative changes what citizens are willing to communicate and how they perceive public institutions. This interdisciplinary, student-led project will develop a simulated municipal-service chatbot and conduct a randomized experiment comparing AI and human service agents using procedural or empathetic communication styles. Participants will respond to realistic urban-service scenarios, allowing the research team to examine both communication behavior and institutional perceptions. </w:t>
            </w:r>
          </w:p>
          <w:p w14:paraId="048383DD">
            <w:pPr>
              <w:numPr>
                <w:ilvl w:val="0"/>
                <w:numId w:val="0"/>
              </w:numPr>
              <w:spacing w:after="0" w:line="276" w:lineRule="auto"/>
              <w:rPr>
                <w:b w:val="0"/>
                <w:bCs/>
                <w:sz w:val="24"/>
                <w:szCs w:val="24"/>
              </w:rPr>
            </w:pPr>
          </w:p>
          <w:p w14:paraId="3966C5B5">
            <w:pPr>
              <w:numPr>
                <w:ilvl w:val="0"/>
                <w:numId w:val="0"/>
              </w:numPr>
              <w:spacing w:after="0" w:line="276" w:lineRule="auto"/>
              <w:rPr>
                <w:b w:val="0"/>
                <w:bCs/>
                <w:sz w:val="24"/>
                <w:szCs w:val="24"/>
              </w:rPr>
            </w:pPr>
            <w:r>
              <w:rPr>
                <w:b w:val="0"/>
                <w:bCs/>
                <w:sz w:val="24"/>
                <w:szCs w:val="24"/>
              </w:rPr>
              <w:t xml:space="preserve">Outcomes will include message detail and tone, willingness to express dissatisfaction, willingness to continue the interaction, feeling heard, perceived responsiveness and procedural fairness, trust in government, political efficacy, and willingness to use official participation channels. Combining public policy, political behavior, human–computer interaction, and human-centered AI design, the project will train students in literature review, research ethics, experimental design, chatbot interface development, natural-language processing, statistical analysis, and policy communication. </w:t>
            </w:r>
          </w:p>
          <w:p w14:paraId="7A96951A">
            <w:pPr>
              <w:numPr>
                <w:ilvl w:val="0"/>
                <w:numId w:val="0"/>
              </w:numPr>
              <w:spacing w:after="0" w:line="276" w:lineRule="auto"/>
              <w:rPr>
                <w:b w:val="0"/>
                <w:bCs/>
                <w:sz w:val="24"/>
                <w:szCs w:val="24"/>
              </w:rPr>
            </w:pPr>
          </w:p>
          <w:p w14:paraId="35FEF0F3">
            <w:pPr>
              <w:numPr>
                <w:ilvl w:val="0"/>
                <w:numId w:val="0"/>
              </w:numPr>
              <w:spacing w:after="0" w:line="276" w:lineRule="auto"/>
              <w:rPr>
                <w:b w:val="0"/>
                <w:bCs/>
                <w:sz w:val="24"/>
                <w:szCs w:val="24"/>
              </w:rPr>
            </w:pPr>
            <w:r>
              <w:rPr>
                <w:b w:val="0"/>
                <w:bCs/>
                <w:sz w:val="24"/>
                <w:szCs w:val="24"/>
              </w:rPr>
              <w:t>Expected outputs include a functional research prototype, a preregistered experimental design, an anonymized research dataset and analysis code where ethically permissible, a research report or submission-ready manuscript, a bilingual policy and design brief, and a public project presentation. The project’s innovation lies in treating a government chatbot not simply as a service-delivery technology but as a new institutional interface between citizen and state. Existing evaluations frequently emphasize accuracy, adoption, efficiency, or satisfaction. This study instead investigates whether the identity and communication style of an AI representative change citizens’ own communicative behavior: how much they disclose, how directly they criticize government performance, whether they feel heard, and whether they remain willing to use official communication channels. The project also innovates methodologically by combining a controlled randomized experiment, behavioral analysis of citizen-generated messages, post-interaction survey measures, usability testing, and basic natural-language processing. Its interdisciplinary supervisory structure ensures that neither the political consequences nor the technical and experiential dimensions of the chatbot are treated as secondary.</w:t>
            </w:r>
          </w:p>
        </w:tc>
      </w:tr>
      <w:tr w14:paraId="63421B59">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7A201845">
            <w:pPr>
              <w:spacing w:after="0" w:line="276" w:lineRule="auto"/>
              <w:ind w:left="0"/>
              <w:rPr>
                <w:b/>
                <w:bCs w:val="0"/>
                <w:sz w:val="24"/>
                <w:szCs w:val="24"/>
              </w:rPr>
            </w:pPr>
            <w:r>
              <w:rPr>
                <w:b/>
                <w:bCs w:val="0"/>
                <w:sz w:val="24"/>
                <w:szCs w:val="24"/>
              </w:rPr>
              <w:t>Expected outcome(s)</w:t>
            </w:r>
          </w:p>
          <w:p w14:paraId="7E4001F4">
            <w:pPr>
              <w:spacing w:after="0" w:line="276" w:lineRule="auto"/>
              <w:ind w:left="0"/>
              <w:rPr>
                <w:b w:val="0"/>
                <w:bCs/>
                <w:sz w:val="24"/>
                <w:szCs w:val="24"/>
              </w:rPr>
            </w:pPr>
          </w:p>
          <w:p w14:paraId="4A84C9E4">
            <w:pPr>
              <w:numPr>
                <w:ilvl w:val="0"/>
                <w:numId w:val="0"/>
              </w:numPr>
              <w:spacing w:line="276" w:lineRule="auto"/>
              <w:ind w:leftChars="0"/>
              <w:rPr>
                <w:b w:val="0"/>
                <w:bCs/>
                <w:sz w:val="24"/>
                <w:szCs w:val="24"/>
              </w:rPr>
            </w:pPr>
            <w:r>
              <w:rPr>
                <w:b w:val="0"/>
                <w:bCs/>
                <w:sz w:val="24"/>
                <w:szCs w:val="24"/>
              </w:rPr>
              <w:t>A functioning experimental prototype of an AI-assisted municipal-service chatbot; a preregistered randomized experimental design; a usability-testing protocol and interface-evaluation report; a documented and anonymized dataset, codebook, and reproducible analysis code, where permitted by the IRB; a research report or submission-ready interdisciplinary manuscript; a bilingual policy and design brief, provisionally titled “Designing Government Chatbots That Help Citizens Feel Heard”; a public prototype demonstration and student presentation; practical design principles for responsible and citizen-centered government chatbots.</w:t>
            </w:r>
          </w:p>
        </w:tc>
      </w:tr>
      <w:tr w14:paraId="5EDB371A">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403C2938">
            <w:pPr>
              <w:numPr>
                <w:ilvl w:val="0"/>
                <w:numId w:val="0"/>
              </w:numPr>
              <w:spacing w:line="276" w:lineRule="auto"/>
              <w:ind w:leftChars="0"/>
              <w:rPr>
                <w:b/>
                <w:bCs w:val="0"/>
                <w:sz w:val="24"/>
                <w:szCs w:val="24"/>
              </w:rPr>
            </w:pPr>
            <w:r>
              <w:rPr>
                <w:b/>
                <w:bCs w:val="0"/>
                <w:sz w:val="24"/>
                <w:szCs w:val="24"/>
              </w:rPr>
              <w:t>Requirements for student applicants</w:t>
            </w:r>
          </w:p>
          <w:p w14:paraId="3B7E5DC8">
            <w:pPr>
              <w:numPr>
                <w:ilvl w:val="0"/>
                <w:numId w:val="0"/>
              </w:numPr>
              <w:spacing w:line="276" w:lineRule="auto"/>
              <w:ind w:leftChars="0"/>
              <w:rPr>
                <w:b w:val="0"/>
                <w:bCs/>
                <w:sz w:val="24"/>
                <w:szCs w:val="24"/>
              </w:rPr>
            </w:pPr>
            <w:r>
              <w:rPr>
                <w:b w:val="0"/>
                <w:bCs/>
                <w:sz w:val="24"/>
                <w:szCs w:val="24"/>
              </w:rPr>
              <w:t xml:space="preserve">We welcome students from public policy, political science, sociology, psychology, computer science, data science, human–computer interaction, communication, design, or related fields. The ideal team will combine social-science, technical, and communication skills; applicants are not expected to possess all of them. Students should have a strong interest in artificial intelligence, digital government, government–citizen communication, political trust, or human-centered technology, as well as a willingness to work collaboratively throughout the one-year project. </w:t>
            </w:r>
          </w:p>
          <w:p w14:paraId="395EC648">
            <w:pPr>
              <w:numPr>
                <w:ilvl w:val="0"/>
                <w:numId w:val="0"/>
              </w:numPr>
              <w:spacing w:line="276" w:lineRule="auto"/>
              <w:ind w:leftChars="0"/>
              <w:rPr>
                <w:b w:val="0"/>
                <w:bCs/>
                <w:sz w:val="24"/>
                <w:szCs w:val="24"/>
              </w:rPr>
            </w:pPr>
            <w:r>
              <w:rPr>
                <w:b w:val="0"/>
                <w:bCs/>
                <w:sz w:val="24"/>
                <w:szCs w:val="24"/>
              </w:rPr>
              <w:t>Experience in one or more of the following areas is preferred but not required: literature review and academic writing; survey or experimental research; qualitative coding; statistical analysis using R, Python, Stata, or similar software; chatbot or web-interface development; natural-language processing; user-experience research; data visualization; and Chinese–English communication. Students should be willing to receive training in research ethics and contribute to research design, prototype development, pilot testing, data collection, analysis, and dissemination. We particularly welcome one student who is interested in serving as the student project leader and coordinating the interdisciplinary team.</w:t>
            </w:r>
          </w:p>
        </w:tc>
      </w:tr>
    </w:tbl>
    <w:p w14:paraId="4DEB39E6">
      <w:pPr>
        <w:ind w:left="-142"/>
        <w:rPr>
          <w:sz w:val="24"/>
        </w:rPr>
      </w:pPr>
    </w:p>
    <w:p w14:paraId="6C7860FB"/>
    <w:p w14:paraId="066287D5">
      <w:pPr>
        <w:ind w:left="0" w:leftChars="0" w:firstLine="0" w:firstLineChars="0"/>
      </w:pPr>
    </w:p>
    <w:p w14:paraId="59CA8F67"/>
    <w:p w14:paraId="14C5D75A"/>
    <w:p w14:paraId="48AE6D78"/>
    <w:sectPr>
      <w:pgSz w:w="12240" w:h="15840"/>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03A56"/>
    <w:rsid w:val="31003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18" w:line="259" w:lineRule="auto"/>
      <w:ind w:left="2510"/>
    </w:pPr>
    <w:rPr>
      <w:rFonts w:ascii="Times New Roman" w:hAnsi="Times New Roman" w:eastAsia="Times New Roman" w:cs="Times New Roman"/>
      <w:b/>
      <w:color w:val="000000"/>
      <w:kern w:val="2"/>
      <w:sz w:val="36"/>
      <w:szCs w:val="24"/>
      <w:lang w:val="zh-CN" w:eastAsia="zh-CN" w:bidi="ar-SA"/>
      <w14:ligatures w14:val="standardContextual"/>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Autospacing="1" w:after="100" w:afterAutospacing="1" w:line="240" w:lineRule="auto"/>
      <w:ind w:left="0"/>
    </w:pPr>
    <w:rPr>
      <w:b w:val="0"/>
      <w:color w:val="auto"/>
      <w:kern w:val="0"/>
      <w:sz w:val="24"/>
      <w14:ligatures w14:val="none"/>
    </w:rPr>
  </w:style>
  <w:style w:type="character" w:styleId="5">
    <w:name w:val="Hyperlink"/>
    <w:basedOn w:val="4"/>
    <w:uiPriority w:val="0"/>
    <w:rPr>
      <w:color w:val="0000FF"/>
      <w:u w:val="single"/>
    </w:rPr>
  </w:style>
  <w:style w:type="table" w:customStyle="1" w:styleId="6">
    <w:name w:val="TableGrid"/>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2026-09-10T06:56:00Z</dcterms:created>
  <dc:creator>Alice</dc:creator>
  <cp:lastModifiedBy>Alice</cp:lastModifiedBy>
  <dcterms:modified xsi:type="dcterms:W3CDTF">2026-09-10T07:07:44Z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A9799D4D744B4D9BA5AC0A72E3DB5159_11</vt:lpwstr>
  </property>
  <property fmtid="{D5CDD505-2E9C-101B-9397-08002B2CF9AE}" pid="4" name="KSOTemplateDocerSaveRecord">
    <vt:lpwstr>eyJoZGlkIjoiOTEyNmRhZDE4MDIxZjg1ODk1ZTNkNTI4MTg0NWY5NDkiLCJ1c2VySWQiOiIzMjA4MTIwMiJ9</vt:lpwstr>
  </property>
</Properties>
</file>