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FA5E99">
      <w:pPr>
        <w:spacing w:line="276" w:lineRule="auto"/>
      </w:pPr>
      <w:bookmarkStart w:id="0" w:name="_GoBack"/>
      <w:bookmarkEnd w:id="0"/>
      <w:r>
        <w:t>Faculty Project Information</w:t>
      </w:r>
    </w:p>
    <w:tbl>
      <w:tblPr>
        <w:tblStyle w:val="7"/>
        <w:tblW w:w="9351" w:type="dxa"/>
        <w:tblInd w:w="-108" w:type="dxa"/>
        <w:tblLayout w:type="autofit"/>
        <w:tblCellMar>
          <w:top w:w="15" w:type="dxa"/>
          <w:left w:w="108" w:type="dxa"/>
          <w:bottom w:w="0" w:type="dxa"/>
          <w:right w:w="115" w:type="dxa"/>
        </w:tblCellMar>
      </w:tblPr>
      <w:tblGrid>
        <w:gridCol w:w="2385"/>
        <w:gridCol w:w="6966"/>
      </w:tblGrid>
      <w:tr w14:paraId="75FDD330">
        <w:tblPrEx>
          <w:tblCellMar>
            <w:top w:w="15" w:type="dxa"/>
            <w:left w:w="108" w:type="dxa"/>
            <w:bottom w:w="0" w:type="dxa"/>
            <w:right w:w="115" w:type="dxa"/>
          </w:tblCellMar>
        </w:tblPrEx>
        <w:trPr>
          <w:trHeight w:val="1666" w:hRule="atLeast"/>
        </w:trPr>
        <w:tc>
          <w:tcPr>
            <w:tcW w:w="9351" w:type="dxa"/>
            <w:gridSpan w:val="2"/>
            <w:tcBorders>
              <w:top w:val="single" w:color="000000" w:sz="4" w:space="0"/>
              <w:left w:val="single" w:color="000000" w:sz="4" w:space="0"/>
              <w:bottom w:val="single" w:color="000000" w:sz="4" w:space="0"/>
              <w:right w:val="single" w:color="000000" w:sz="4" w:space="0"/>
            </w:tcBorders>
          </w:tcPr>
          <w:p w14:paraId="013C00F8">
            <w:pPr>
              <w:spacing w:after="0" w:line="276" w:lineRule="auto"/>
              <w:ind w:left="0"/>
            </w:pPr>
            <w:r>
              <w:rPr>
                <w:rFonts w:hint="default" w:ascii="Times New Roman" w:hAnsi="Times New Roman" w:eastAsia="Helvetica" w:cs="Times New Roman"/>
                <w:i w:val="0"/>
                <w:iCs w:val="0"/>
                <w:caps w:val="0"/>
                <w:color w:val="15232B"/>
                <w:spacing w:val="0"/>
                <w:sz w:val="24"/>
                <w:szCs w:val="24"/>
                <w:shd w:val="clear" w:fill="FFFFFF"/>
              </w:rPr>
              <w:t>Joint World-Action and Vision-Language-Action Models for Humanoid Robots</w:t>
            </w:r>
          </w:p>
        </w:tc>
      </w:tr>
      <w:tr w14:paraId="697F97A5">
        <w:tblPrEx>
          <w:tblCellMar>
            <w:top w:w="15" w:type="dxa"/>
            <w:left w:w="108" w:type="dxa"/>
            <w:bottom w:w="0" w:type="dxa"/>
            <w:right w:w="115" w:type="dxa"/>
          </w:tblCellMar>
        </w:tblPrEx>
        <w:trPr>
          <w:trHeight w:val="627" w:hRule="atLeast"/>
        </w:trPr>
        <w:tc>
          <w:tcPr>
            <w:tcW w:w="2385" w:type="dxa"/>
            <w:tcBorders>
              <w:top w:val="single" w:color="000000" w:sz="4" w:space="0"/>
              <w:left w:val="single" w:color="000000" w:sz="4" w:space="0"/>
              <w:bottom w:val="single" w:color="000000" w:sz="4" w:space="0"/>
              <w:right w:val="single" w:color="000000" w:sz="4" w:space="0"/>
            </w:tcBorders>
          </w:tcPr>
          <w:p w14:paraId="259BDDA0">
            <w:pPr>
              <w:spacing w:after="0" w:line="276" w:lineRule="auto"/>
              <w:ind w:left="0"/>
            </w:pPr>
            <w:r>
              <w:rPr>
                <w:b w:val="0"/>
                <w:sz w:val="24"/>
              </w:rPr>
              <w:t>Faculty Name:</w:t>
            </w:r>
          </w:p>
        </w:tc>
        <w:tc>
          <w:tcPr>
            <w:tcW w:w="6966" w:type="dxa"/>
            <w:tcBorders>
              <w:top w:val="single" w:color="000000" w:sz="4" w:space="0"/>
              <w:left w:val="single" w:color="000000" w:sz="4" w:space="0"/>
              <w:bottom w:val="single" w:color="000000" w:sz="4" w:space="0"/>
              <w:right w:val="single" w:color="000000" w:sz="4" w:space="0"/>
            </w:tcBorders>
          </w:tcPr>
          <w:p w14:paraId="67921013">
            <w:pPr>
              <w:spacing w:after="0" w:line="276" w:lineRule="auto"/>
              <w:ind w:left="1"/>
            </w:pPr>
            <w:r>
              <w:rPr>
                <w:b w:val="0"/>
                <w:sz w:val="24"/>
              </w:rPr>
              <w:t>Prof Bing Luo, Ph.D.</w:t>
            </w:r>
          </w:p>
        </w:tc>
      </w:tr>
      <w:tr w14:paraId="4694A1E2">
        <w:tblPrEx>
          <w:tblCellMar>
            <w:top w:w="15" w:type="dxa"/>
            <w:left w:w="108" w:type="dxa"/>
            <w:bottom w:w="0" w:type="dxa"/>
            <w:right w:w="115" w:type="dxa"/>
          </w:tblCellMar>
        </w:tblPrEx>
        <w:trPr>
          <w:trHeight w:val="578" w:hRule="atLeast"/>
        </w:trPr>
        <w:tc>
          <w:tcPr>
            <w:tcW w:w="2385" w:type="dxa"/>
            <w:tcBorders>
              <w:top w:val="single" w:color="000000" w:sz="4" w:space="0"/>
              <w:left w:val="single" w:color="000000" w:sz="4" w:space="0"/>
              <w:bottom w:val="single" w:color="000000" w:sz="4" w:space="0"/>
              <w:right w:val="single" w:color="000000" w:sz="4" w:space="0"/>
            </w:tcBorders>
          </w:tcPr>
          <w:p w14:paraId="5EE9809D">
            <w:pPr>
              <w:spacing w:after="0" w:line="276" w:lineRule="auto"/>
              <w:ind w:left="0"/>
            </w:pPr>
            <w:r>
              <w:rPr>
                <w:b w:val="0"/>
                <w:sz w:val="24"/>
              </w:rPr>
              <w:t>Faculty Email:</w:t>
            </w:r>
          </w:p>
        </w:tc>
        <w:tc>
          <w:tcPr>
            <w:tcW w:w="6966" w:type="dxa"/>
            <w:tcBorders>
              <w:top w:val="single" w:color="000000" w:sz="4" w:space="0"/>
              <w:left w:val="single" w:color="000000" w:sz="4" w:space="0"/>
              <w:bottom w:val="single" w:color="000000" w:sz="4" w:space="0"/>
              <w:right w:val="single" w:color="000000" w:sz="4" w:space="0"/>
            </w:tcBorders>
          </w:tcPr>
          <w:p w14:paraId="3EF7E18D">
            <w:pPr>
              <w:pStyle w:val="2"/>
              <w:spacing w:line="276" w:lineRule="auto"/>
            </w:pPr>
            <w:r>
              <w:fldChar w:fldCharType="begin"/>
            </w:r>
            <w:r>
              <w:instrText xml:space="preserve"> HYPERLINK "bing.luo@dukekunshan.edu.cn" </w:instrText>
            </w:r>
            <w:r>
              <w:fldChar w:fldCharType="separate"/>
            </w:r>
            <w:r>
              <w:rPr>
                <w:rStyle w:val="6"/>
              </w:rPr>
              <w:t>bing.luo@dukekunshan.edu.cn</w:t>
            </w:r>
            <w:r>
              <w:rPr>
                <w:rStyle w:val="6"/>
              </w:rPr>
              <w:fldChar w:fldCharType="end"/>
            </w:r>
          </w:p>
        </w:tc>
      </w:tr>
      <w:tr w14:paraId="0BD497E6">
        <w:tblPrEx>
          <w:tblCellMar>
            <w:top w:w="15" w:type="dxa"/>
            <w:left w:w="108" w:type="dxa"/>
            <w:bottom w:w="0" w:type="dxa"/>
            <w:right w:w="115" w:type="dxa"/>
          </w:tblCellMar>
        </w:tblPrEx>
        <w:trPr>
          <w:trHeight w:val="657" w:hRule="atLeast"/>
        </w:trPr>
        <w:tc>
          <w:tcPr>
            <w:tcW w:w="2385" w:type="dxa"/>
            <w:tcBorders>
              <w:top w:val="single" w:color="000000" w:sz="4" w:space="0"/>
              <w:left w:val="single" w:color="000000" w:sz="4" w:space="0"/>
              <w:bottom w:val="single" w:color="000000" w:sz="4" w:space="0"/>
              <w:right w:val="single" w:color="000000" w:sz="4" w:space="0"/>
            </w:tcBorders>
          </w:tcPr>
          <w:p w14:paraId="4F1335C4">
            <w:pPr>
              <w:spacing w:after="0" w:line="276" w:lineRule="auto"/>
              <w:ind w:left="0"/>
            </w:pPr>
            <w:r>
              <w:rPr>
                <w:b w:val="0"/>
                <w:sz w:val="24"/>
              </w:rPr>
              <w:t>Research Field:</w:t>
            </w:r>
          </w:p>
        </w:tc>
        <w:tc>
          <w:tcPr>
            <w:tcW w:w="6966" w:type="dxa"/>
            <w:tcBorders>
              <w:top w:val="single" w:color="000000" w:sz="4" w:space="0"/>
              <w:left w:val="single" w:color="000000" w:sz="4" w:space="0"/>
              <w:bottom w:val="single" w:color="000000" w:sz="4" w:space="0"/>
              <w:right w:val="single" w:color="000000" w:sz="4" w:space="0"/>
            </w:tcBorders>
          </w:tcPr>
          <w:p w14:paraId="2F0271CD">
            <w:pPr>
              <w:spacing w:after="0" w:line="276" w:lineRule="auto"/>
              <w:ind w:left="1"/>
            </w:pPr>
            <w:r>
              <w:rPr>
                <w:b w:val="0"/>
                <w:sz w:val="24"/>
              </w:rPr>
              <w:t>Large Language Models, AI Agents</w:t>
            </w:r>
          </w:p>
        </w:tc>
      </w:tr>
      <w:tr w14:paraId="0F065255">
        <w:tblPrEx>
          <w:tblCellMar>
            <w:top w:w="15" w:type="dxa"/>
            <w:left w:w="108" w:type="dxa"/>
            <w:bottom w:w="0" w:type="dxa"/>
            <w:right w:w="115" w:type="dxa"/>
          </w:tblCellMar>
        </w:tblPrEx>
        <w:trPr>
          <w:trHeight w:val="1251" w:hRule="atLeast"/>
        </w:trPr>
        <w:tc>
          <w:tcPr>
            <w:tcW w:w="9351" w:type="dxa"/>
            <w:gridSpan w:val="2"/>
            <w:tcBorders>
              <w:top w:val="single" w:color="000000" w:sz="4" w:space="0"/>
              <w:left w:val="single" w:color="000000" w:sz="4" w:space="0"/>
              <w:bottom w:val="single" w:color="000000" w:sz="4" w:space="0"/>
              <w:right w:val="single" w:color="000000" w:sz="4" w:space="0"/>
            </w:tcBorders>
          </w:tcPr>
          <w:p w14:paraId="0770DE4D">
            <w:pPr>
              <w:spacing w:after="0" w:line="276" w:lineRule="auto"/>
              <w:ind w:left="0"/>
              <w:rPr>
                <w:sz w:val="24"/>
              </w:rPr>
            </w:pPr>
            <w:r>
              <w:rPr>
                <w:sz w:val="24"/>
              </w:rPr>
              <w:t>Brief Description</w:t>
            </w:r>
          </w:p>
          <w:p w14:paraId="56D0457B">
            <w:pPr>
              <w:spacing w:after="0" w:line="276" w:lineRule="auto"/>
              <w:ind w:left="0" w:leftChars="0" w:firstLine="0" w:firstLineChars="0"/>
              <w:rPr>
                <w:b w:val="0"/>
                <w:sz w:val="24"/>
              </w:rPr>
            </w:pPr>
          </w:p>
          <w:p w14:paraId="43610FD8">
            <w:pPr>
              <w:spacing w:after="0" w:line="276" w:lineRule="auto"/>
              <w:ind w:left="0" w:leftChars="0" w:firstLine="0" w:firstLineChars="0"/>
              <w:rPr>
                <w:b w:val="0"/>
                <w:sz w:val="24"/>
              </w:rPr>
            </w:pPr>
            <w:r>
              <w:rPr>
                <w:b w:val="0"/>
                <w:sz w:val="24"/>
              </w:rPr>
              <w:t>Humanoid robots have the potential to perform a wide range of tasks in human-centered environments, but enabling them to understand, plan, and execute complex real-world behaviors remains a major challenge. This project aims to develop intelligent humanoid robots by combining Vision-Language-Action (VLA) models with World Action Models (WAMs). VLA models provide the robot with the ability to understand visual observations and natural-language instructions and translate them into meaningful actions, while World Action Models learn predictive representations of how the physical world evolves under different actions. We will investigate how these two paradigms can be integrated to enable humanoid robots to perform complex, long-horizon tasks through closed-loop perception, prediction, planning, and action. Particular interests include whole-body manipulation, locomotion, human-robot interaction, learning from human demonstrations, and transferring knowledge from large-scale video and multimodal foundation models to real-world humanoid robots.</w:t>
            </w:r>
          </w:p>
          <w:p w14:paraId="7895B21C">
            <w:pPr>
              <w:spacing w:after="0" w:line="276" w:lineRule="auto"/>
              <w:ind w:left="0" w:leftChars="0" w:firstLine="0" w:firstLineChars="0"/>
              <w:rPr>
                <w:b w:val="0"/>
                <w:sz w:val="24"/>
              </w:rPr>
            </w:pPr>
          </w:p>
        </w:tc>
      </w:tr>
      <w:tr w14:paraId="64D3D08C">
        <w:tblPrEx>
          <w:tblCellMar>
            <w:top w:w="15" w:type="dxa"/>
            <w:left w:w="108" w:type="dxa"/>
            <w:bottom w:w="0" w:type="dxa"/>
            <w:right w:w="115" w:type="dxa"/>
          </w:tblCellMar>
        </w:tblPrEx>
        <w:trPr>
          <w:trHeight w:val="1251" w:hRule="atLeast"/>
        </w:trPr>
        <w:tc>
          <w:tcPr>
            <w:tcW w:w="9351" w:type="dxa"/>
            <w:gridSpan w:val="2"/>
            <w:tcBorders>
              <w:top w:val="single" w:color="000000" w:sz="4" w:space="0"/>
              <w:left w:val="single" w:color="000000" w:sz="4" w:space="0"/>
              <w:bottom w:val="single" w:color="000000" w:sz="4" w:space="0"/>
              <w:right w:val="single" w:color="000000" w:sz="4" w:space="0"/>
            </w:tcBorders>
          </w:tcPr>
          <w:p w14:paraId="31817B56">
            <w:pPr>
              <w:spacing w:after="401" w:line="276" w:lineRule="auto"/>
              <w:ind w:left="0"/>
              <w:rPr>
                <w:sz w:val="24"/>
              </w:rPr>
            </w:pPr>
            <w:r>
              <w:rPr>
                <w:sz w:val="24"/>
              </w:rPr>
              <w:t>Expected Outcome(s)</w:t>
            </w:r>
          </w:p>
          <w:p w14:paraId="7B694F6C">
            <w:pPr>
              <w:numPr>
                <w:ilvl w:val="0"/>
                <w:numId w:val="1"/>
              </w:numPr>
              <w:spacing w:after="401" w:line="276" w:lineRule="auto"/>
              <w:ind w:left="0"/>
              <w:rPr>
                <w:rFonts w:hint="default" w:ascii="Times New Roman" w:hAnsi="Times New Roman" w:cs="Times New Roman"/>
                <w:b w:val="0"/>
                <w:bCs/>
                <w:sz w:val="24"/>
                <w:szCs w:val="24"/>
              </w:rPr>
            </w:pPr>
            <w:r>
              <w:rPr>
                <w:rFonts w:hint="default" w:ascii="Times New Roman" w:hAnsi="Times New Roman" w:eastAsia="Helvetica" w:cs="Times New Roman"/>
                <w:b w:val="0"/>
                <w:bCs/>
                <w:i w:val="0"/>
                <w:iCs w:val="0"/>
                <w:caps w:val="0"/>
                <w:color w:val="15232B"/>
                <w:spacing w:val="0"/>
                <w:sz w:val="24"/>
                <w:szCs w:val="24"/>
                <w:shd w:val="clear" w:fill="FFFFFF"/>
              </w:rPr>
              <w:t xml:space="preserve">Develop novel architectures and learning algorithms that integrate World Action Models and VLA models for humanoid robots. </w:t>
            </w:r>
          </w:p>
          <w:p w14:paraId="4C78C265">
            <w:pPr>
              <w:numPr>
                <w:ilvl w:val="0"/>
                <w:numId w:val="1"/>
              </w:numPr>
              <w:spacing w:after="401" w:line="276" w:lineRule="auto"/>
              <w:ind w:left="0"/>
              <w:rPr>
                <w:rFonts w:hint="default" w:ascii="Times New Roman" w:hAnsi="Times New Roman" w:cs="Times New Roman"/>
                <w:b w:val="0"/>
                <w:bCs/>
                <w:sz w:val="24"/>
                <w:szCs w:val="24"/>
              </w:rPr>
            </w:pPr>
            <w:r>
              <w:rPr>
                <w:rFonts w:hint="default" w:ascii="Times New Roman" w:hAnsi="Times New Roman" w:eastAsia="Helvetica" w:cs="Times New Roman"/>
                <w:b w:val="0"/>
                <w:bCs/>
                <w:i w:val="0"/>
                <w:iCs w:val="0"/>
                <w:caps w:val="0"/>
                <w:color w:val="15232B"/>
                <w:spacing w:val="0"/>
                <w:sz w:val="24"/>
                <w:szCs w:val="24"/>
                <w:shd w:val="clear" w:fill="FFFFFF"/>
              </w:rPr>
              <w:t xml:space="preserve">Develop and evaluate whole-body robotic policies on different frontier benchmarks for complex manipulation and loco-manipulation tasks. </w:t>
            </w:r>
          </w:p>
          <w:p w14:paraId="3C535AEB">
            <w:pPr>
              <w:numPr>
                <w:ilvl w:val="0"/>
                <w:numId w:val="1"/>
              </w:numPr>
              <w:spacing w:after="401" w:line="276" w:lineRule="auto"/>
              <w:ind w:left="0"/>
              <w:rPr>
                <w:sz w:val="24"/>
              </w:rPr>
            </w:pPr>
            <w:r>
              <w:rPr>
                <w:rFonts w:hint="default" w:ascii="Times New Roman" w:hAnsi="Times New Roman" w:eastAsia="Helvetica" w:cs="Times New Roman"/>
                <w:b w:val="0"/>
                <w:bCs/>
                <w:i w:val="0"/>
                <w:iCs w:val="0"/>
                <w:caps w:val="0"/>
                <w:color w:val="15232B"/>
                <w:spacing w:val="0"/>
                <w:sz w:val="24"/>
                <w:szCs w:val="24"/>
                <w:shd w:val="clear" w:fill="FFFFFF"/>
              </w:rPr>
              <w:t>Produce research results with the potential for publication at leading conferences in AI, robotics, and machine learning.</w:t>
            </w:r>
          </w:p>
        </w:tc>
      </w:tr>
      <w:tr w14:paraId="65FB2043">
        <w:tblPrEx>
          <w:tblCellMar>
            <w:top w:w="15" w:type="dxa"/>
            <w:left w:w="108" w:type="dxa"/>
            <w:bottom w:w="0" w:type="dxa"/>
            <w:right w:w="115" w:type="dxa"/>
          </w:tblCellMar>
        </w:tblPrEx>
        <w:trPr>
          <w:trHeight w:val="1251" w:hRule="atLeast"/>
        </w:trPr>
        <w:tc>
          <w:tcPr>
            <w:tcW w:w="9351" w:type="dxa"/>
            <w:gridSpan w:val="2"/>
            <w:tcBorders>
              <w:top w:val="single" w:color="000000" w:sz="4" w:space="0"/>
              <w:left w:val="single" w:color="000000" w:sz="4" w:space="0"/>
              <w:bottom w:val="single" w:color="000000" w:sz="4" w:space="0"/>
              <w:right w:val="single" w:color="000000" w:sz="4" w:space="0"/>
            </w:tcBorders>
          </w:tcPr>
          <w:p w14:paraId="2FA0A0DF">
            <w:pPr>
              <w:spacing w:line="276" w:lineRule="auto"/>
              <w:ind w:left="0"/>
              <w:rPr>
                <w:sz w:val="24"/>
              </w:rPr>
            </w:pPr>
            <w:r>
              <w:rPr>
                <w:sz w:val="24"/>
              </w:rPr>
              <w:t>Requirement for student applicants</w:t>
            </w:r>
          </w:p>
          <w:p w14:paraId="5CE56D21">
            <w:pPr>
              <w:spacing w:after="0" w:line="276" w:lineRule="auto"/>
              <w:ind w:left="0"/>
              <w:rPr>
                <w:b w:val="0"/>
                <w:bCs/>
                <w:sz w:val="24"/>
              </w:rPr>
            </w:pPr>
            <w:r>
              <w:rPr>
                <w:b w:val="0"/>
                <w:bCs/>
                <w:sz w:val="24"/>
              </w:rPr>
              <w:t xml:space="preserve">We welcome motivated students from computer science, mathematics, and related disciplines, especially with backgrounds related to robots or deep learning. </w:t>
            </w:r>
          </w:p>
          <w:p w14:paraId="5E379395">
            <w:pPr>
              <w:spacing w:after="0" w:line="276" w:lineRule="auto"/>
              <w:ind w:left="0"/>
              <w:rPr>
                <w:b w:val="0"/>
                <w:bCs/>
                <w:sz w:val="24"/>
              </w:rPr>
            </w:pPr>
          </w:p>
          <w:p w14:paraId="23715B10">
            <w:pPr>
              <w:spacing w:after="0" w:line="276" w:lineRule="auto"/>
              <w:ind w:left="0"/>
              <w:rPr>
                <w:b w:val="0"/>
                <w:bCs/>
                <w:sz w:val="24"/>
              </w:rPr>
            </w:pPr>
            <w:r>
              <w:rPr>
                <w:b w:val="0"/>
                <w:bCs/>
                <w:sz w:val="24"/>
              </w:rPr>
              <w:t xml:space="preserve">Applicants should ideally have: </w:t>
            </w:r>
          </w:p>
          <w:p w14:paraId="05ED0058">
            <w:pPr>
              <w:spacing w:after="0" w:line="276" w:lineRule="auto"/>
              <w:ind w:left="0"/>
              <w:rPr>
                <w:b w:val="0"/>
                <w:bCs/>
                <w:sz w:val="24"/>
              </w:rPr>
            </w:pPr>
            <w:r>
              <w:rPr>
                <w:b w:val="0"/>
                <w:bCs/>
                <w:sz w:val="24"/>
              </w:rPr>
              <w:t>* Strong programming skills, particularly in Python and PyTorch.</w:t>
            </w:r>
          </w:p>
          <w:p w14:paraId="7DE9655C">
            <w:pPr>
              <w:spacing w:after="0" w:line="276" w:lineRule="auto"/>
              <w:ind w:left="0"/>
              <w:rPr>
                <w:b w:val="0"/>
                <w:bCs/>
                <w:sz w:val="24"/>
              </w:rPr>
            </w:pPr>
            <w:r>
              <w:rPr>
                <w:b w:val="0"/>
                <w:bCs/>
                <w:sz w:val="24"/>
              </w:rPr>
              <w:t xml:space="preserve"> * Basic knowledge of machine learning and deep learning. * Strong interest in robotics, foundation models, and embodied AI. </w:t>
            </w:r>
          </w:p>
          <w:p w14:paraId="7CCEEE7F">
            <w:pPr>
              <w:spacing w:after="0" w:line="276" w:lineRule="auto"/>
              <w:ind w:left="0"/>
              <w:rPr>
                <w:b w:val="0"/>
                <w:bCs/>
                <w:sz w:val="24"/>
              </w:rPr>
            </w:pPr>
            <w:r>
              <w:rPr>
                <w:b w:val="0"/>
                <w:bCs/>
                <w:sz w:val="24"/>
              </w:rPr>
              <w:t xml:space="preserve">* Willingness to read research papers and conduct independent experiments. </w:t>
            </w:r>
          </w:p>
          <w:p w14:paraId="733D99C9">
            <w:pPr>
              <w:spacing w:after="0" w:line="276" w:lineRule="auto"/>
              <w:ind w:left="0"/>
              <w:rPr>
                <w:b w:val="0"/>
                <w:bCs/>
                <w:sz w:val="24"/>
              </w:rPr>
            </w:pPr>
            <w:r>
              <w:rPr>
                <w:b w:val="0"/>
                <w:bCs/>
                <w:sz w:val="24"/>
              </w:rPr>
              <w:t xml:space="preserve">* Good mathematical and analytical skills. </w:t>
            </w:r>
          </w:p>
          <w:p w14:paraId="2D56F1E4">
            <w:pPr>
              <w:spacing w:after="0" w:line="276" w:lineRule="auto"/>
              <w:ind w:left="0"/>
              <w:rPr>
                <w:b w:val="0"/>
                <w:bCs/>
                <w:sz w:val="24"/>
              </w:rPr>
            </w:pPr>
          </w:p>
          <w:p w14:paraId="4A18FED2">
            <w:pPr>
              <w:spacing w:after="0" w:line="276" w:lineRule="auto"/>
              <w:ind w:left="0"/>
              <w:rPr>
                <w:b w:val="0"/>
                <w:bCs/>
                <w:sz w:val="24"/>
              </w:rPr>
            </w:pPr>
            <w:r>
              <w:rPr>
                <w:b w:val="0"/>
                <w:bCs/>
                <w:sz w:val="24"/>
              </w:rPr>
              <w:t xml:space="preserve">Experience with any of the following is a plus but not required: </w:t>
            </w:r>
          </w:p>
          <w:p w14:paraId="020599D0">
            <w:pPr>
              <w:spacing w:after="0" w:line="276" w:lineRule="auto"/>
              <w:ind w:left="0"/>
              <w:rPr>
                <w:b w:val="0"/>
                <w:bCs/>
                <w:sz w:val="24"/>
              </w:rPr>
            </w:pPr>
            <w:r>
              <w:rPr>
                <w:b w:val="0"/>
                <w:bCs/>
                <w:sz w:val="24"/>
              </w:rPr>
              <w:t xml:space="preserve">* Vision-language models or large language models. </w:t>
            </w:r>
          </w:p>
          <w:p w14:paraId="5A037CEB">
            <w:pPr>
              <w:spacing w:after="0" w:line="276" w:lineRule="auto"/>
              <w:ind w:left="0"/>
              <w:rPr>
                <w:b w:val="0"/>
                <w:bCs/>
                <w:sz w:val="24"/>
              </w:rPr>
            </w:pPr>
            <w:r>
              <w:rPr>
                <w:b w:val="0"/>
                <w:bCs/>
                <w:sz w:val="24"/>
              </w:rPr>
              <w:t>* Computer vision and multimodal learning.</w:t>
            </w:r>
          </w:p>
          <w:p w14:paraId="1E346A3E">
            <w:pPr>
              <w:spacing w:after="0" w:line="276" w:lineRule="auto"/>
              <w:ind w:left="0"/>
              <w:rPr>
                <w:b w:val="0"/>
                <w:bCs/>
                <w:sz w:val="24"/>
              </w:rPr>
            </w:pPr>
            <w:r>
              <w:rPr>
                <w:b w:val="0"/>
                <w:bCs/>
                <w:sz w:val="24"/>
              </w:rPr>
              <w:t xml:space="preserve">* Imitation learning or reinforcement learning. </w:t>
            </w:r>
          </w:p>
          <w:p w14:paraId="1EB1581B">
            <w:pPr>
              <w:spacing w:after="0" w:line="276" w:lineRule="auto"/>
              <w:ind w:left="0"/>
              <w:rPr>
                <w:b w:val="0"/>
                <w:bCs/>
                <w:sz w:val="24"/>
              </w:rPr>
            </w:pPr>
            <w:r>
              <w:rPr>
                <w:b w:val="0"/>
                <w:bCs/>
                <w:sz w:val="24"/>
              </w:rPr>
              <w:t xml:space="preserve">* Robot learning and motion planning. </w:t>
            </w:r>
          </w:p>
          <w:p w14:paraId="5D44B01D">
            <w:pPr>
              <w:spacing w:after="0" w:line="276" w:lineRule="auto"/>
              <w:ind w:left="0"/>
              <w:rPr>
                <w:b w:val="0"/>
                <w:bCs/>
                <w:sz w:val="24"/>
              </w:rPr>
            </w:pPr>
            <w:r>
              <w:rPr>
                <w:b w:val="0"/>
                <w:bCs/>
                <w:sz w:val="24"/>
              </w:rPr>
              <w:t xml:space="preserve">* Robot control and simulation. </w:t>
            </w:r>
          </w:p>
          <w:p w14:paraId="5CDEAF62">
            <w:pPr>
              <w:spacing w:after="0" w:line="276" w:lineRule="auto"/>
              <w:ind w:left="0"/>
              <w:rPr>
                <w:sz w:val="24"/>
              </w:rPr>
            </w:pPr>
            <w:r>
              <w:rPr>
                <w:b w:val="0"/>
                <w:bCs/>
                <w:sz w:val="24"/>
              </w:rPr>
              <w:t>* Deployment Optimization on AI infra side</w:t>
            </w:r>
          </w:p>
        </w:tc>
      </w:tr>
      <w:tr w14:paraId="63421B59">
        <w:tblPrEx>
          <w:tblCellMar>
            <w:top w:w="15" w:type="dxa"/>
            <w:left w:w="108" w:type="dxa"/>
            <w:bottom w:w="0" w:type="dxa"/>
            <w:right w:w="115" w:type="dxa"/>
          </w:tblCellMar>
        </w:tblPrEx>
        <w:trPr>
          <w:trHeight w:val="1251" w:hRule="atLeast"/>
        </w:trPr>
        <w:tc>
          <w:tcPr>
            <w:tcW w:w="9351" w:type="dxa"/>
            <w:gridSpan w:val="2"/>
            <w:tcBorders>
              <w:top w:val="single" w:color="000000" w:sz="4" w:space="0"/>
              <w:left w:val="single" w:color="000000" w:sz="4" w:space="0"/>
              <w:bottom w:val="single" w:color="000000" w:sz="4" w:space="0"/>
              <w:right w:val="single" w:color="000000" w:sz="4" w:space="0"/>
            </w:tcBorders>
          </w:tcPr>
          <w:p w14:paraId="7A201845">
            <w:pPr>
              <w:spacing w:after="0" w:line="276" w:lineRule="auto"/>
              <w:ind w:left="0"/>
              <w:rPr>
                <w:sz w:val="24"/>
              </w:rPr>
            </w:pPr>
            <w:r>
              <w:rPr>
                <w:sz w:val="24"/>
              </w:rPr>
              <w:t xml:space="preserve">Additional requirement </w:t>
            </w:r>
          </w:p>
          <w:p w14:paraId="7E4001F4">
            <w:pPr>
              <w:spacing w:after="0" w:line="276" w:lineRule="auto"/>
              <w:ind w:left="0"/>
              <w:rPr>
                <w:b w:val="0"/>
                <w:bCs/>
                <w:sz w:val="24"/>
              </w:rPr>
            </w:pPr>
          </w:p>
          <w:p w14:paraId="4A84C9E4">
            <w:pPr>
              <w:spacing w:line="276" w:lineRule="auto"/>
              <w:ind w:left="0"/>
              <w:rPr>
                <w:sz w:val="24"/>
              </w:rPr>
            </w:pPr>
            <w:r>
              <w:rPr>
                <w:b w:val="0"/>
                <w:bCs/>
                <w:sz w:val="24"/>
              </w:rPr>
              <w:t>Students are expected to actively participate in research meetings, paper discussions, experiments, and collaborative development. Depending on the research direction, students may work with GPU-based foundation models, simulation environments, and real humanoid robotic platforms. Prior experience with a robot is not required. We value students who are willing to learn across different areas and are interested in pursuing open-ended research problems at the intersection of AI, world modeling, and robotics.</w:t>
            </w:r>
          </w:p>
        </w:tc>
      </w:tr>
    </w:tbl>
    <w:p w14:paraId="009147C5">
      <w:pPr>
        <w:spacing w:after="0" w:line="276" w:lineRule="auto"/>
        <w:ind w:left="0" w:right="117"/>
      </w:pPr>
    </w:p>
    <w:p w14:paraId="4DEB39E6">
      <w:pPr>
        <w:ind w:left="-142"/>
        <w:rPr>
          <w:sz w:val="24"/>
        </w:rPr>
      </w:pPr>
    </w:p>
    <w:sectPr>
      <w:pgSz w:w="12240" w:h="15840"/>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DengXian">
    <w:panose1 w:val="02010600030101010101"/>
    <w:charset w:val="86"/>
    <w:family w:val="auto"/>
    <w:pitch w:val="default"/>
    <w:sig w:usb0="A00002BF" w:usb1="38CF7CFA" w:usb2="00000016" w:usb3="00000000" w:csb0="0004000F" w:csb1="00000000"/>
  </w:font>
  <w:font w:name="Wingdings">
    <w:panose1 w:val="05000000000000000000"/>
    <w:charset w:val="4D"/>
    <w:family w:val="decorative"/>
    <w:pitch w:val="default"/>
    <w:sig w:usb0="00000000" w:usb1="00000000" w:usb2="00000000" w:usb3="00000000" w:csb0="80000000" w:csb1="00000000"/>
  </w:font>
  <w:font w:name="MS PGothic">
    <w:panose1 w:val="020B0600070205080204"/>
    <w:charset w:val="80"/>
    <w:family w:val="auto"/>
    <w:pitch w:val="default"/>
    <w:sig w:usb0="E00002FF" w:usb1="6AC7FDFB" w:usb2="08000012" w:usb3="00000000" w:csb0="4002009F" w:csb1="DFD7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B4AB0A6B">
    <w:panose1 w:val="020B0704020202020204"/>
    <w:charset w:val="00"/>
    <w:family w:val="auto"/>
    <w:pitch w:val="default"/>
    <w:sig w:usb0="00000001"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DAEE0C"/>
    <w:multiLevelType w:val="singleLevel"/>
    <w:tmpl w:val="98DAEE0C"/>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520"/>
    <w:rsid w:val="005C1698"/>
    <w:rsid w:val="005E4D8F"/>
    <w:rsid w:val="006A0A6F"/>
    <w:rsid w:val="008E3C1C"/>
    <w:rsid w:val="00917520"/>
    <w:rsid w:val="00BC71FB"/>
    <w:rsid w:val="00C51518"/>
    <w:rsid w:val="00F91520"/>
    <w:rsid w:val="521D680E"/>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418" w:line="259" w:lineRule="auto"/>
      <w:ind w:left="2510"/>
    </w:pPr>
    <w:rPr>
      <w:rFonts w:ascii="Times New Roman" w:hAnsi="Times New Roman" w:eastAsia="Times New Roman" w:cs="Times New Roman"/>
      <w:b/>
      <w:color w:val="000000"/>
      <w:kern w:val="2"/>
      <w:sz w:val="36"/>
      <w:szCs w:val="24"/>
      <w:lang w:val="zh-CN" w:eastAsia="zh-CN" w:bidi="ar-SA"/>
      <w14:ligatures w14:val="standardContextual"/>
    </w:rPr>
  </w:style>
  <w:style w:type="character" w:default="1" w:styleId="5">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unhideWhenUsed/>
    <w:uiPriority w:val="99"/>
    <w:pPr>
      <w:spacing w:before="100" w:beforeAutospacing="1" w:after="100" w:afterAutospacing="1" w:line="240" w:lineRule="auto"/>
      <w:ind w:left="0"/>
    </w:pPr>
    <w:rPr>
      <w:b w:val="0"/>
      <w:color w:val="auto"/>
      <w:kern w:val="0"/>
      <w:sz w:val="24"/>
      <w14:ligatures w14:val="none"/>
    </w:rPr>
  </w:style>
  <w:style w:type="table" w:styleId="4">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unhideWhenUsed/>
    <w:qFormat/>
    <w:uiPriority w:val="99"/>
    <w:rPr>
      <w:color w:val="467886" w:themeColor="hyperlink"/>
      <w:u w:val="single"/>
      <w14:textFill>
        <w14:solidFill>
          <w14:schemeClr w14:val="hlink"/>
        </w14:solidFill>
      </w14:textFill>
    </w:rPr>
  </w:style>
  <w:style w:type="table" w:customStyle="1" w:styleId="7">
    <w:name w:val="TableGrid"/>
    <w:qFormat/>
    <w:uiPriority w:val="0"/>
    <w:pPr>
      <w:spacing w:after="0" w:line="240" w:lineRule="auto"/>
    </w:pPr>
    <w:tblPr>
      <w:tblCellMar>
        <w:top w:w="0" w:type="dxa"/>
        <w:left w:w="0" w:type="dxa"/>
        <w:bottom w:w="0" w:type="dxa"/>
        <w:right w:w="0" w:type="dxa"/>
      </w:tblCellMar>
    </w:tblPr>
  </w:style>
  <w:style w:type="character" w:customStyle="1" w:styleId="8">
    <w:name w:val="Unresolved Mention"/>
    <w:basedOn w:val="5"/>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2</Pages>
  <Words>819</Words>
  <Characters>5485</Characters>
  <Lines>45</Lines>
  <Paragraphs>12</Paragraphs>
  <TotalTime>26</TotalTime>
  <ScaleCrop>false</ScaleCrop>
  <LinksUpToDate>false</LinksUpToDate>
  <CharactersWithSpaces>6269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2026-09-02T07:03:00Z</dcterms:created>
  <dc:creator>Liqi Ren, Ph.D.</dc:creator>
  <cp:lastModifiedBy>Alice</cp:lastModifiedBy>
  <dcterms:modified xsi:type="dcterms:W3CDTF">2026-09-10T03:10:14Z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eyJoZGlkIjoiOTEyNmRhZDE4MDIxZjg1ODk1ZTNkNTI4MTg0NWY5NDkiLCJ1c2VySWQiOiIzMjA4MTIwMiJ9</vt:lpwstr>
  </property>
  <property fmtid="{D5CDD505-2E9C-101B-9397-08002B2CF9AE}" pid="3" name="KSOProductBuildVer">
    <vt:lpwstr>2052-12.1.0.28505</vt:lpwstr>
  </property>
  <property fmtid="{D5CDD505-2E9C-101B-9397-08002B2CF9AE}" pid="4" name="ICV">
    <vt:lpwstr>FAB9EF33337544E08B88FE28DDAD5FA5_13</vt:lpwstr>
  </property>
</Properties>
</file>