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FA5E99" w14:textId="77777777" w:rsidR="00F91520" w:rsidRDefault="00000000">
      <w:r>
        <w:t>Faculty Project Information</w:t>
      </w:r>
    </w:p>
    <w:tbl>
      <w:tblPr>
        <w:tblStyle w:val="TableGrid"/>
        <w:tblW w:w="9351" w:type="dxa"/>
        <w:tblInd w:w="-108" w:type="dxa"/>
        <w:tblCellMar>
          <w:top w:w="15" w:type="dxa"/>
          <w:left w:w="108" w:type="dxa"/>
          <w:right w:w="115" w:type="dxa"/>
        </w:tblCellMar>
        <w:tblLook w:val="04A0" w:firstRow="1" w:lastRow="0" w:firstColumn="1" w:lastColumn="0" w:noHBand="0" w:noVBand="1"/>
      </w:tblPr>
      <w:tblGrid>
        <w:gridCol w:w="2385"/>
        <w:gridCol w:w="6966"/>
      </w:tblGrid>
      <w:tr w:rsidR="00F91520" w:rsidRPr="00C971D9" w14:paraId="75FDD330" w14:textId="77777777">
        <w:trPr>
          <w:trHeight w:val="1666"/>
        </w:trPr>
        <w:tc>
          <w:tcPr>
            <w:tcW w:w="9351" w:type="dxa"/>
            <w:gridSpan w:val="2"/>
            <w:tcBorders>
              <w:top w:val="single" w:sz="4" w:space="0" w:color="000000"/>
              <w:left w:val="single" w:sz="4" w:space="0" w:color="000000"/>
              <w:bottom w:val="single" w:sz="4" w:space="0" w:color="000000"/>
              <w:right w:val="single" w:sz="4" w:space="0" w:color="000000"/>
            </w:tcBorders>
          </w:tcPr>
          <w:p w14:paraId="50931409" w14:textId="77777777" w:rsidR="00720B78" w:rsidRPr="00720B78" w:rsidRDefault="00720B78" w:rsidP="00720B78">
            <w:pPr>
              <w:spacing w:after="0" w:line="276" w:lineRule="auto"/>
              <w:ind w:left="0"/>
              <w:rPr>
                <w:sz w:val="24"/>
              </w:rPr>
            </w:pPr>
          </w:p>
          <w:p w14:paraId="013C00F8" w14:textId="35749096" w:rsidR="00F91520" w:rsidRPr="00C971D9" w:rsidRDefault="00720B78" w:rsidP="00720B78">
            <w:pPr>
              <w:spacing w:after="0" w:line="276" w:lineRule="auto"/>
              <w:ind w:left="0"/>
              <w:rPr>
                <w:sz w:val="24"/>
              </w:rPr>
            </w:pPr>
            <w:r w:rsidRPr="00720B78">
              <w:rPr>
                <w:sz w:val="24"/>
              </w:rPr>
              <w:t>Shared Responsibility in Embodied-AI Global Supply Chains: A Verifiable Ledger and Mechanism Lab</w:t>
            </w:r>
          </w:p>
        </w:tc>
      </w:tr>
      <w:tr w:rsidR="00F91520" w:rsidRPr="00C971D9" w14:paraId="697F97A5" w14:textId="77777777">
        <w:trPr>
          <w:trHeight w:val="627"/>
        </w:trPr>
        <w:tc>
          <w:tcPr>
            <w:tcW w:w="2385" w:type="dxa"/>
            <w:tcBorders>
              <w:top w:val="single" w:sz="4" w:space="0" w:color="000000"/>
              <w:left w:val="single" w:sz="4" w:space="0" w:color="000000"/>
              <w:bottom w:val="single" w:sz="4" w:space="0" w:color="000000"/>
              <w:right w:val="single" w:sz="4" w:space="0" w:color="000000"/>
            </w:tcBorders>
          </w:tcPr>
          <w:p w14:paraId="259BDDA0" w14:textId="77777777" w:rsidR="00F91520" w:rsidRPr="00C971D9" w:rsidRDefault="00000000" w:rsidP="00C971D9">
            <w:pPr>
              <w:spacing w:after="0" w:line="276" w:lineRule="auto"/>
              <w:ind w:left="0"/>
              <w:rPr>
                <w:sz w:val="24"/>
              </w:rPr>
            </w:pPr>
            <w:r w:rsidRPr="00C971D9">
              <w:rPr>
                <w:b w:val="0"/>
                <w:sz w:val="24"/>
              </w:rPr>
              <w:t>Faculty Name:</w:t>
            </w:r>
          </w:p>
        </w:tc>
        <w:tc>
          <w:tcPr>
            <w:tcW w:w="6966" w:type="dxa"/>
            <w:tcBorders>
              <w:top w:val="single" w:sz="4" w:space="0" w:color="000000"/>
              <w:left w:val="single" w:sz="4" w:space="0" w:color="000000"/>
              <w:bottom w:val="single" w:sz="4" w:space="0" w:color="000000"/>
              <w:right w:val="single" w:sz="4" w:space="0" w:color="000000"/>
            </w:tcBorders>
          </w:tcPr>
          <w:p w14:paraId="67921013" w14:textId="50BC0380" w:rsidR="00F91520" w:rsidRPr="00C971D9" w:rsidRDefault="00720B78" w:rsidP="00C971D9">
            <w:pPr>
              <w:spacing w:after="0" w:line="276" w:lineRule="auto"/>
              <w:ind w:left="1"/>
              <w:rPr>
                <w:sz w:val="24"/>
              </w:rPr>
            </w:pPr>
            <w:r w:rsidRPr="00720B78">
              <w:rPr>
                <w:b w:val="0"/>
                <w:sz w:val="24"/>
              </w:rPr>
              <w:t xml:space="preserve">Prof Luyao Zhang, Ph.D. </w:t>
            </w:r>
          </w:p>
        </w:tc>
      </w:tr>
      <w:tr w:rsidR="00F91520" w:rsidRPr="00C971D9" w14:paraId="4694A1E2" w14:textId="77777777">
        <w:trPr>
          <w:trHeight w:val="578"/>
        </w:trPr>
        <w:tc>
          <w:tcPr>
            <w:tcW w:w="2385" w:type="dxa"/>
            <w:tcBorders>
              <w:top w:val="single" w:sz="4" w:space="0" w:color="000000"/>
              <w:left w:val="single" w:sz="4" w:space="0" w:color="000000"/>
              <w:bottom w:val="single" w:sz="4" w:space="0" w:color="000000"/>
              <w:right w:val="single" w:sz="4" w:space="0" w:color="000000"/>
            </w:tcBorders>
          </w:tcPr>
          <w:p w14:paraId="5EE9809D" w14:textId="77777777" w:rsidR="00F91520" w:rsidRPr="00C971D9" w:rsidRDefault="00000000" w:rsidP="00C971D9">
            <w:pPr>
              <w:spacing w:after="0" w:line="276" w:lineRule="auto"/>
              <w:ind w:left="0"/>
              <w:rPr>
                <w:sz w:val="24"/>
              </w:rPr>
            </w:pPr>
            <w:r w:rsidRPr="00C971D9">
              <w:rPr>
                <w:b w:val="0"/>
                <w:sz w:val="24"/>
              </w:rPr>
              <w:t>Faculty Email:</w:t>
            </w:r>
          </w:p>
        </w:tc>
        <w:tc>
          <w:tcPr>
            <w:tcW w:w="6966" w:type="dxa"/>
            <w:tcBorders>
              <w:top w:val="single" w:sz="4" w:space="0" w:color="000000"/>
              <w:left w:val="single" w:sz="4" w:space="0" w:color="000000"/>
              <w:bottom w:val="single" w:sz="4" w:space="0" w:color="000000"/>
              <w:right w:val="single" w:sz="4" w:space="0" w:color="000000"/>
            </w:tcBorders>
          </w:tcPr>
          <w:p w14:paraId="3EF7E18D" w14:textId="0DA635A8" w:rsidR="00F91520" w:rsidRPr="00C971D9" w:rsidRDefault="00720B78" w:rsidP="00C971D9">
            <w:pPr>
              <w:pStyle w:val="NormalWeb"/>
              <w:spacing w:line="276" w:lineRule="auto"/>
            </w:pPr>
            <w:r>
              <w:fldChar w:fldCharType="begin"/>
            </w:r>
            <w:r>
              <w:instrText xml:space="preserve">HYPERLINK "mailto: </w:instrText>
            </w:r>
            <w:r w:rsidRPr="00720B78">
              <w:instrText>luyao.zhang@dukekunshan.edu.cn</w:instrText>
            </w:r>
            <w:r w:rsidRPr="00720B78">
              <w:instrText xml:space="preserve"> </w:instrText>
            </w:r>
            <w:r>
              <w:instrText>"</w:instrText>
            </w:r>
            <w:r>
              <w:fldChar w:fldCharType="separate"/>
            </w:r>
            <w:r w:rsidRPr="00030D79">
              <w:rPr>
                <w:rStyle w:val="Hyperlink"/>
              </w:rPr>
              <w:t xml:space="preserve"> </w:t>
            </w:r>
            <w:r w:rsidRPr="00030D79">
              <w:rPr>
                <w:rStyle w:val="Hyperlink"/>
              </w:rPr>
              <w:t>l</w:t>
            </w:r>
            <w:r w:rsidRPr="00030D79">
              <w:rPr>
                <w:rStyle w:val="Hyperlink"/>
              </w:rPr>
              <w:t>u</w:t>
            </w:r>
            <w:r w:rsidRPr="00030D79">
              <w:rPr>
                <w:rStyle w:val="Hyperlink"/>
              </w:rPr>
              <w:t>yao.zhang@dukekunshan.edu.cn</w:t>
            </w:r>
            <w:r w:rsidRPr="00030D79">
              <w:rPr>
                <w:rStyle w:val="Hyperlink"/>
              </w:rPr>
              <w:t xml:space="preserve"> </w:t>
            </w:r>
            <w:r>
              <w:fldChar w:fldCharType="end"/>
            </w:r>
          </w:p>
        </w:tc>
      </w:tr>
      <w:tr w:rsidR="00F91520" w:rsidRPr="00C971D9" w14:paraId="0BD497E6" w14:textId="77777777">
        <w:trPr>
          <w:trHeight w:val="657"/>
        </w:trPr>
        <w:tc>
          <w:tcPr>
            <w:tcW w:w="2385" w:type="dxa"/>
            <w:tcBorders>
              <w:top w:val="single" w:sz="4" w:space="0" w:color="000000"/>
              <w:left w:val="single" w:sz="4" w:space="0" w:color="000000"/>
              <w:bottom w:val="single" w:sz="4" w:space="0" w:color="000000"/>
              <w:right w:val="single" w:sz="4" w:space="0" w:color="000000"/>
            </w:tcBorders>
          </w:tcPr>
          <w:p w14:paraId="4F1335C4" w14:textId="77777777" w:rsidR="00F91520" w:rsidRPr="00C971D9" w:rsidRDefault="00000000" w:rsidP="00C971D9">
            <w:pPr>
              <w:spacing w:after="0" w:line="276" w:lineRule="auto"/>
              <w:ind w:left="0"/>
              <w:rPr>
                <w:sz w:val="24"/>
              </w:rPr>
            </w:pPr>
            <w:r w:rsidRPr="00C971D9">
              <w:rPr>
                <w:b w:val="0"/>
                <w:sz w:val="24"/>
              </w:rPr>
              <w:t>Research Field:</w:t>
            </w:r>
          </w:p>
        </w:tc>
        <w:tc>
          <w:tcPr>
            <w:tcW w:w="6966" w:type="dxa"/>
            <w:tcBorders>
              <w:top w:val="single" w:sz="4" w:space="0" w:color="000000"/>
              <w:left w:val="single" w:sz="4" w:space="0" w:color="000000"/>
              <w:bottom w:val="single" w:sz="4" w:space="0" w:color="000000"/>
              <w:right w:val="single" w:sz="4" w:space="0" w:color="000000"/>
            </w:tcBorders>
          </w:tcPr>
          <w:p w14:paraId="2F0271CD" w14:textId="7195502A" w:rsidR="00F91520" w:rsidRPr="00C971D9" w:rsidRDefault="00720B78" w:rsidP="00C971D9">
            <w:pPr>
              <w:spacing w:after="0" w:line="276" w:lineRule="auto"/>
              <w:ind w:left="1"/>
              <w:rPr>
                <w:sz w:val="24"/>
              </w:rPr>
            </w:pPr>
            <w:r w:rsidRPr="00720B78">
              <w:rPr>
                <w:b w:val="0"/>
                <w:sz w:val="24"/>
              </w:rPr>
              <w:t>Computational and Economic Sciences; Trustworthy Mechanism Design; Embodied Artificial Intelligence; Environmental-Responsibility Accounting; Sustainable Global Supply Chains; Responsible AI; Digital Humanities; Culturally Aware Agentic Systems; Open Science and Community Data Governance; Human-Centered Spatiotemporal Intelligence; Global Commons; Sustainable Local Economies and Global Mobility;</w:t>
            </w:r>
          </w:p>
        </w:tc>
      </w:tr>
      <w:tr w:rsidR="00F91520" w:rsidRPr="00C971D9" w14:paraId="0F065255" w14:textId="77777777" w:rsidTr="00C971D9">
        <w:trPr>
          <w:trHeight w:val="2952"/>
        </w:trPr>
        <w:tc>
          <w:tcPr>
            <w:tcW w:w="9351" w:type="dxa"/>
            <w:gridSpan w:val="2"/>
            <w:tcBorders>
              <w:top w:val="single" w:sz="4" w:space="0" w:color="000000"/>
              <w:left w:val="single" w:sz="4" w:space="0" w:color="000000"/>
              <w:bottom w:val="single" w:sz="4" w:space="0" w:color="000000"/>
              <w:right w:val="single" w:sz="4" w:space="0" w:color="000000"/>
            </w:tcBorders>
          </w:tcPr>
          <w:p w14:paraId="0770DE4D" w14:textId="37716966" w:rsidR="005C1698" w:rsidRPr="00720B78" w:rsidRDefault="00000000" w:rsidP="00C971D9">
            <w:pPr>
              <w:spacing w:after="0" w:line="276" w:lineRule="auto"/>
              <w:ind w:left="0"/>
              <w:rPr>
                <w:sz w:val="24"/>
              </w:rPr>
            </w:pPr>
            <w:r w:rsidRPr="00720B78">
              <w:rPr>
                <w:sz w:val="24"/>
              </w:rPr>
              <w:t>Brief Description</w:t>
            </w:r>
          </w:p>
          <w:p w14:paraId="385D8C63" w14:textId="77777777" w:rsidR="005C1698" w:rsidRPr="00720B78" w:rsidRDefault="005C1698" w:rsidP="00C971D9">
            <w:pPr>
              <w:spacing w:after="0" w:line="276" w:lineRule="auto"/>
              <w:ind w:left="0"/>
              <w:rPr>
                <w:b w:val="0"/>
                <w:bCs/>
                <w:sz w:val="24"/>
              </w:rPr>
            </w:pPr>
          </w:p>
          <w:p w14:paraId="49D51C29" w14:textId="77777777" w:rsidR="00720B78" w:rsidRPr="00720B78" w:rsidRDefault="00720B78" w:rsidP="00720B78">
            <w:pPr>
              <w:spacing w:after="0" w:line="276" w:lineRule="auto"/>
              <w:ind w:left="0" w:firstLine="709"/>
              <w:rPr>
                <w:b w:val="0"/>
                <w:bCs/>
                <w:sz w:val="24"/>
              </w:rPr>
            </w:pPr>
            <w:r w:rsidRPr="00720B78">
              <w:rPr>
                <w:b w:val="0"/>
                <w:bCs/>
                <w:sz w:val="24"/>
              </w:rPr>
              <w:t>As embodied AI moves from digital models into robots, factories, logistics systems, healthcare, and public services, its environmental responsibility becomes distributed across global networks of critical materials, semiconductors, computing infrastructure, manufacturing, transportation, operation, maintenance, and end-of-life recovery. Existing assessments often estimate a total environmental footprint but do not clearly explain who is responsible for which impact, what evidence supports that judgment, or how different rules may change organizational behavior.</w:t>
            </w:r>
          </w:p>
          <w:p w14:paraId="0FA6233E" w14:textId="77777777" w:rsidR="00720B78" w:rsidRPr="00720B78" w:rsidRDefault="00720B78" w:rsidP="00720B78">
            <w:pPr>
              <w:spacing w:after="0" w:line="276" w:lineRule="auto"/>
              <w:ind w:left="0" w:firstLine="709"/>
              <w:rPr>
                <w:b w:val="0"/>
                <w:bCs/>
                <w:sz w:val="24"/>
              </w:rPr>
            </w:pPr>
            <w:r w:rsidRPr="00720B78">
              <w:rPr>
                <w:b w:val="0"/>
                <w:bCs/>
                <w:sz w:val="24"/>
              </w:rPr>
              <w:t>This project asks:</w:t>
            </w:r>
          </w:p>
          <w:p w14:paraId="73A2CCE6" w14:textId="77777777" w:rsidR="00720B78" w:rsidRPr="00720B78" w:rsidRDefault="00720B78" w:rsidP="00720B78">
            <w:pPr>
              <w:spacing w:after="0" w:line="276" w:lineRule="auto"/>
              <w:ind w:left="0" w:firstLine="709"/>
              <w:rPr>
                <w:b w:val="0"/>
                <w:bCs/>
                <w:sz w:val="24"/>
              </w:rPr>
            </w:pPr>
            <w:r w:rsidRPr="00720B78">
              <w:rPr>
                <w:b w:val="0"/>
                <w:bCs/>
                <w:sz w:val="24"/>
              </w:rPr>
              <w:t>How can environmental responsibility in embodied-AI global supply chains be recorded, verified, and shared in ways that improve both accountability and incentives?</w:t>
            </w:r>
          </w:p>
          <w:p w14:paraId="479B896B" w14:textId="77777777" w:rsidR="00720B78" w:rsidRPr="00720B78" w:rsidRDefault="00720B78" w:rsidP="00720B78">
            <w:pPr>
              <w:spacing w:after="0" w:line="276" w:lineRule="auto"/>
              <w:ind w:left="0" w:firstLine="709"/>
              <w:rPr>
                <w:b w:val="0"/>
                <w:bCs/>
                <w:sz w:val="24"/>
              </w:rPr>
            </w:pPr>
            <w:r w:rsidRPr="00720B78">
              <w:rPr>
                <w:b w:val="0"/>
                <w:bCs/>
                <w:sz w:val="24"/>
              </w:rPr>
              <w:t>Students will select one clearly bounded embodied-AI system, map its principal actors, resources, decisions, and environmental effects, and build a provenance-aware dataset from credible public evidence. They will compare at least three responsibility-allocation mechanisms-for example, direct operational control, lifecycle contribution, economic value, or capacity to prevent harm-and examine how these rules may affect disclosure, procurement, production, mitigation, and responsibility shifting.</w:t>
            </w:r>
          </w:p>
          <w:p w14:paraId="34F39D12" w14:textId="77777777" w:rsidR="00720B78" w:rsidRPr="00720B78" w:rsidRDefault="00720B78" w:rsidP="00720B78">
            <w:pPr>
              <w:spacing w:after="0" w:line="276" w:lineRule="auto"/>
              <w:ind w:left="0" w:firstLine="709"/>
              <w:rPr>
                <w:b w:val="0"/>
                <w:bCs/>
                <w:sz w:val="24"/>
              </w:rPr>
            </w:pPr>
            <w:r w:rsidRPr="00720B78">
              <w:rPr>
                <w:b w:val="0"/>
                <w:bCs/>
                <w:sz w:val="24"/>
              </w:rPr>
              <w:t xml:space="preserve">The central Minimum Viable Product will be a functional Environmental-Responsibility Ledger and Mechanism Lab. Its interactive interface will make supply-chain </w:t>
            </w:r>
            <w:r w:rsidRPr="00720B78">
              <w:rPr>
                <w:b w:val="0"/>
                <w:bCs/>
                <w:sz w:val="24"/>
              </w:rPr>
              <w:lastRenderedPageBreak/>
              <w:t>relationships, evidence sources, assumptions, uncertainty, missing data, and alternative responsibility allocations visible and open to comparison.</w:t>
            </w:r>
          </w:p>
          <w:p w14:paraId="00DD9528" w14:textId="77777777" w:rsidR="00720B78" w:rsidRPr="00720B78" w:rsidRDefault="00720B78" w:rsidP="00720B78">
            <w:pPr>
              <w:spacing w:after="0" w:line="276" w:lineRule="auto"/>
              <w:ind w:left="0" w:firstLine="709"/>
              <w:rPr>
                <w:b w:val="0"/>
                <w:bCs/>
                <w:sz w:val="24"/>
              </w:rPr>
            </w:pPr>
            <w:r w:rsidRPr="00720B78">
              <w:rPr>
                <w:b w:val="0"/>
                <w:bCs/>
                <w:sz w:val="24"/>
              </w:rPr>
              <w:t>The project will incubate students as scientists, entrepreneurs, and philanthropists: conducting interdisciplinary research for international dissemination; translating the findings into a responsible startup demonstration; and returning knowledge to society through an open website, stakeholder workshop, tutorial, and multimedia educational resources.</w:t>
            </w:r>
          </w:p>
          <w:p w14:paraId="4FAFDC4C" w14:textId="77777777" w:rsidR="00720B78" w:rsidRPr="00720B78" w:rsidRDefault="00720B78" w:rsidP="00720B78">
            <w:pPr>
              <w:spacing w:after="0" w:line="276" w:lineRule="auto"/>
              <w:ind w:left="0" w:firstLine="709"/>
              <w:rPr>
                <w:b w:val="0"/>
                <w:bCs/>
                <w:sz w:val="24"/>
              </w:rPr>
            </w:pPr>
            <w:r w:rsidRPr="00720B78">
              <w:rPr>
                <w:b w:val="0"/>
                <w:bCs/>
                <w:sz w:val="24"/>
              </w:rPr>
              <w:t>The project will make substantive contributions to:</w:t>
            </w:r>
          </w:p>
          <w:p w14:paraId="28A3355D" w14:textId="77777777" w:rsidR="00720B78" w:rsidRPr="00720B78" w:rsidRDefault="00720B78" w:rsidP="00720B78">
            <w:pPr>
              <w:spacing w:after="0" w:line="276" w:lineRule="auto"/>
              <w:ind w:left="0" w:firstLine="709"/>
              <w:rPr>
                <w:b w:val="0"/>
                <w:bCs/>
                <w:sz w:val="24"/>
              </w:rPr>
            </w:pPr>
            <w:r w:rsidRPr="00720B78">
              <w:rPr>
                <w:b w:val="0"/>
                <w:bCs/>
                <w:sz w:val="24"/>
              </w:rPr>
              <w:t>• SDG 9 - Industry, Innovation and Infrastructure, by advancing responsible and sustainable embodied-AI infrastructure;</w:t>
            </w:r>
          </w:p>
          <w:p w14:paraId="1843095A" w14:textId="77777777" w:rsidR="00720B78" w:rsidRPr="00720B78" w:rsidRDefault="00720B78" w:rsidP="00720B78">
            <w:pPr>
              <w:spacing w:after="0" w:line="276" w:lineRule="auto"/>
              <w:ind w:left="0" w:firstLine="709"/>
              <w:rPr>
                <w:b w:val="0"/>
                <w:bCs/>
                <w:sz w:val="24"/>
              </w:rPr>
            </w:pPr>
            <w:r w:rsidRPr="00720B78">
              <w:rPr>
                <w:b w:val="0"/>
                <w:bCs/>
                <w:sz w:val="24"/>
              </w:rPr>
              <w:t>• SDG 12 - Responsible Consumption and Production, by improving lifecycle transparency, responsible procurement, and circular supply-chain thinking;</w:t>
            </w:r>
          </w:p>
          <w:p w14:paraId="5ECA8FFE" w14:textId="77777777" w:rsidR="00720B78" w:rsidRPr="00720B78" w:rsidRDefault="00720B78" w:rsidP="00720B78">
            <w:pPr>
              <w:spacing w:after="0" w:line="276" w:lineRule="auto"/>
              <w:ind w:left="0" w:firstLine="709"/>
              <w:rPr>
                <w:b w:val="0"/>
                <w:bCs/>
                <w:sz w:val="24"/>
              </w:rPr>
            </w:pPr>
            <w:r w:rsidRPr="00720B78">
              <w:rPr>
                <w:b w:val="0"/>
                <w:bCs/>
                <w:sz w:val="24"/>
              </w:rPr>
              <w:t>• SDG 13 - Climate Action, by connecting verifiable environmental evidence with incentives for mitigation;</w:t>
            </w:r>
          </w:p>
          <w:p w14:paraId="1C02FC5C" w14:textId="77777777" w:rsidR="00720B78" w:rsidRPr="00720B78" w:rsidRDefault="00720B78" w:rsidP="00720B78">
            <w:pPr>
              <w:spacing w:after="0" w:line="276" w:lineRule="auto"/>
              <w:ind w:left="0" w:firstLine="709"/>
              <w:rPr>
                <w:b w:val="0"/>
                <w:bCs/>
                <w:sz w:val="24"/>
              </w:rPr>
            </w:pPr>
            <w:r w:rsidRPr="00720B78">
              <w:rPr>
                <w:b w:val="0"/>
                <w:bCs/>
                <w:sz w:val="24"/>
              </w:rPr>
              <w:t>• SDG 17 - Partnerships for the Goals, by bringing together</w:t>
            </w:r>
          </w:p>
          <w:p w14:paraId="56D0457B" w14:textId="1BA80E0D" w:rsidR="005C1698" w:rsidRPr="00720B78" w:rsidRDefault="00720B78" w:rsidP="00720B78">
            <w:pPr>
              <w:spacing w:after="0" w:line="276" w:lineRule="auto"/>
              <w:ind w:left="0" w:firstLine="709"/>
              <w:rPr>
                <w:b w:val="0"/>
                <w:bCs/>
                <w:sz w:val="24"/>
              </w:rPr>
            </w:pPr>
            <w:r w:rsidRPr="00720B78">
              <w:rPr>
                <w:b w:val="0"/>
                <w:bCs/>
                <w:sz w:val="24"/>
              </w:rPr>
              <w:t>students, researchers, industry, policymakers, sustainability experts, and international-standards contributors.</w:t>
            </w:r>
            <w:r w:rsidRPr="00720B78">
              <w:rPr>
                <w:b w:val="0"/>
                <w:bCs/>
                <w:sz w:val="24"/>
              </w:rPr>
              <w:t xml:space="preserve"> </w:t>
            </w:r>
          </w:p>
        </w:tc>
      </w:tr>
      <w:tr w:rsidR="00C971D9" w:rsidRPr="00C971D9" w14:paraId="6279BB76" w14:textId="77777777" w:rsidTr="00C971D9">
        <w:trPr>
          <w:trHeight w:val="2952"/>
        </w:trPr>
        <w:tc>
          <w:tcPr>
            <w:tcW w:w="9351" w:type="dxa"/>
            <w:gridSpan w:val="2"/>
            <w:tcBorders>
              <w:top w:val="single" w:sz="4" w:space="0" w:color="000000"/>
              <w:left w:val="single" w:sz="4" w:space="0" w:color="000000"/>
              <w:bottom w:val="single" w:sz="4" w:space="0" w:color="000000"/>
              <w:right w:val="single" w:sz="4" w:space="0" w:color="000000"/>
            </w:tcBorders>
          </w:tcPr>
          <w:p w14:paraId="73199467" w14:textId="77777777" w:rsidR="00C971D9" w:rsidRPr="00C971D9" w:rsidRDefault="00C971D9" w:rsidP="00C971D9">
            <w:pPr>
              <w:spacing w:after="401" w:line="276" w:lineRule="auto"/>
              <w:ind w:left="0"/>
              <w:rPr>
                <w:sz w:val="24"/>
              </w:rPr>
            </w:pPr>
            <w:r w:rsidRPr="00C971D9">
              <w:rPr>
                <w:sz w:val="24"/>
              </w:rPr>
              <w:lastRenderedPageBreak/>
              <w:t>Expected Outcome(s)</w:t>
            </w:r>
          </w:p>
          <w:p w14:paraId="733ADC8F" w14:textId="77777777" w:rsidR="00720B78" w:rsidRPr="00720B78" w:rsidRDefault="00720B78" w:rsidP="00720B78">
            <w:pPr>
              <w:numPr>
                <w:ilvl w:val="0"/>
                <w:numId w:val="1"/>
              </w:numPr>
              <w:spacing w:after="0" w:line="276" w:lineRule="auto"/>
              <w:rPr>
                <w:b w:val="0"/>
                <w:sz w:val="24"/>
              </w:rPr>
            </w:pPr>
            <w:r w:rsidRPr="00720B78">
              <w:rPr>
                <w:bCs/>
                <w:sz w:val="24"/>
              </w:rPr>
              <w:t>Core MVP:</w:t>
            </w:r>
            <w:r w:rsidRPr="00720B78">
              <w:rPr>
                <w:b w:val="0"/>
                <w:sz w:val="24"/>
              </w:rPr>
              <w:t xml:space="preserve"> A functional Environmental-Responsibility Ledger and Mechanism Lab for one bounded embodied-AI global supply chain, integrating a stakeholder and supply-chain map, traceable environmental evidence, visible uncertainty, and interactive comparison of at least three responsibility-allocation mechanisms.</w:t>
            </w:r>
          </w:p>
          <w:p w14:paraId="342C52A9" w14:textId="77777777" w:rsidR="00720B78" w:rsidRPr="00720B78" w:rsidRDefault="00720B78" w:rsidP="00720B78">
            <w:pPr>
              <w:numPr>
                <w:ilvl w:val="0"/>
                <w:numId w:val="1"/>
              </w:numPr>
              <w:spacing w:after="0" w:line="276" w:lineRule="auto"/>
              <w:rPr>
                <w:b w:val="0"/>
                <w:sz w:val="24"/>
              </w:rPr>
            </w:pPr>
            <w:r w:rsidRPr="00720B78">
              <w:rPr>
                <w:bCs/>
                <w:sz w:val="24"/>
              </w:rPr>
              <w:t>Scientist:</w:t>
            </w:r>
            <w:r w:rsidRPr="00720B78">
              <w:rPr>
                <w:b w:val="0"/>
                <w:sz w:val="24"/>
              </w:rPr>
              <w:t xml:space="preserve"> A rigorous research report and submission-ready paper or extended abstract for an appropriate international venue, supported by high-standard open-science artifacts: a documented dataset, data dictionary, reproducible software code, computational model, and public repository. The case may also inform faculty-led white-paper work and global standards discussions.</w:t>
            </w:r>
          </w:p>
          <w:p w14:paraId="236BE8D9" w14:textId="77777777" w:rsidR="00720B78" w:rsidRPr="00720B78" w:rsidRDefault="00720B78" w:rsidP="00720B78">
            <w:pPr>
              <w:numPr>
                <w:ilvl w:val="0"/>
                <w:numId w:val="1"/>
              </w:numPr>
              <w:spacing w:after="0" w:line="276" w:lineRule="auto"/>
              <w:rPr>
                <w:b w:val="0"/>
                <w:sz w:val="24"/>
              </w:rPr>
            </w:pPr>
            <w:r w:rsidRPr="00720B78">
              <w:rPr>
                <w:bCs/>
                <w:sz w:val="24"/>
              </w:rPr>
              <w:t>Entrepreneur:</w:t>
            </w:r>
            <w:r w:rsidRPr="00720B78">
              <w:rPr>
                <w:b w:val="0"/>
                <w:sz w:val="24"/>
              </w:rPr>
              <w:t xml:space="preserve"> A demo startup profile including target users, value proposition, pilot use case, MVP demonstration, stakeholder validation, pitch deck, demo video, responsible commercialization principles, and an initial implementation roadmap.</w:t>
            </w:r>
          </w:p>
          <w:p w14:paraId="48543B74" w14:textId="7DD0A34C" w:rsidR="00C971D9" w:rsidRPr="00C971D9" w:rsidRDefault="00720B78" w:rsidP="00720B78">
            <w:pPr>
              <w:numPr>
                <w:ilvl w:val="0"/>
                <w:numId w:val="1"/>
              </w:numPr>
              <w:spacing w:after="0" w:line="276" w:lineRule="auto"/>
              <w:rPr>
                <w:sz w:val="24"/>
              </w:rPr>
            </w:pPr>
            <w:r w:rsidRPr="00720B78">
              <w:rPr>
                <w:bCs/>
                <w:sz w:val="24"/>
              </w:rPr>
              <w:t>Philanthropist / Public-Good Contributor:</w:t>
            </w:r>
            <w:r w:rsidRPr="00720B78">
              <w:rPr>
                <w:b w:val="0"/>
                <w:sz w:val="24"/>
              </w:rPr>
              <w:t xml:space="preserve"> A public project website and one interdisciplinary workshop/tutorial bringing together researchers, industry, policymakers, sustainability experts, and international-standards contributors, with multimedia open educational resources and a documented record of stakeholder feedback and project revision.</w:t>
            </w:r>
          </w:p>
        </w:tc>
      </w:tr>
      <w:tr w:rsidR="00C971D9" w:rsidRPr="00C971D9" w14:paraId="37745D45" w14:textId="77777777" w:rsidTr="00C971D9">
        <w:trPr>
          <w:trHeight w:val="2952"/>
        </w:trPr>
        <w:tc>
          <w:tcPr>
            <w:tcW w:w="9351" w:type="dxa"/>
            <w:gridSpan w:val="2"/>
            <w:tcBorders>
              <w:top w:val="single" w:sz="4" w:space="0" w:color="000000"/>
              <w:left w:val="single" w:sz="4" w:space="0" w:color="000000"/>
              <w:bottom w:val="single" w:sz="4" w:space="0" w:color="000000"/>
              <w:right w:val="single" w:sz="4" w:space="0" w:color="000000"/>
            </w:tcBorders>
          </w:tcPr>
          <w:p w14:paraId="39DAFEEC" w14:textId="77777777" w:rsidR="00720B78" w:rsidRPr="00720B78" w:rsidRDefault="00720B78" w:rsidP="00C971D9">
            <w:pPr>
              <w:pStyle w:val="NormalWeb"/>
              <w:spacing w:after="0" w:line="276" w:lineRule="auto"/>
              <w:rPr>
                <w:b/>
                <w:bCs/>
                <w:color w:val="1C2D38"/>
              </w:rPr>
            </w:pPr>
            <w:r w:rsidRPr="00720B78">
              <w:rPr>
                <w:b/>
                <w:bCs/>
                <w:color w:val="1C2D38"/>
              </w:rPr>
              <w:lastRenderedPageBreak/>
              <w:t>Requirements for student applicants</w:t>
            </w:r>
          </w:p>
          <w:p w14:paraId="053AAFBB" w14:textId="03BF2A2C" w:rsidR="00C971D9" w:rsidRPr="00C971D9" w:rsidRDefault="00720B78" w:rsidP="00C971D9">
            <w:pPr>
              <w:spacing w:after="401" w:line="276" w:lineRule="auto"/>
              <w:ind w:left="0"/>
              <w:rPr>
                <w:sz w:val="24"/>
              </w:rPr>
            </w:pPr>
            <w:r w:rsidRPr="00720B78">
              <w:rPr>
                <w:b w:val="0"/>
                <w:color w:val="auto"/>
                <w:kern w:val="0"/>
                <w:sz w:val="24"/>
                <w14:ligatures w14:val="none"/>
              </w:rPr>
              <w:t>Open to students from all majors. Prior experience in AI, robotics, economics, sustainability, supply chains, data science, coding, or visualization is helpful but not required. We value curiosity, reliability, ethical judgment, and the motivation to learn across disciplines. Applicants should be willing to work in a team, engage carefully with evidence, document data and code for reproducibility, communicate findings to non-specialists, and take ownership of a year-long project. Leadership may be demonstrated through initiative, collaboration, thoughtful problem-solving, and consistent follow-through.</w:t>
            </w:r>
          </w:p>
        </w:tc>
      </w:tr>
    </w:tbl>
    <w:p w14:paraId="009147C5" w14:textId="77777777" w:rsidR="00F91520" w:rsidRPr="00C971D9" w:rsidRDefault="00F91520" w:rsidP="00C971D9">
      <w:pPr>
        <w:spacing w:after="0" w:line="276" w:lineRule="auto"/>
        <w:ind w:left="0" w:right="117"/>
        <w:rPr>
          <w:sz w:val="24"/>
        </w:rPr>
      </w:pPr>
    </w:p>
    <w:p w14:paraId="4DEB39E6" w14:textId="77777777" w:rsidR="006A0A6F" w:rsidRPr="00C971D9" w:rsidRDefault="006A0A6F" w:rsidP="00C971D9">
      <w:pPr>
        <w:spacing w:line="276" w:lineRule="auto"/>
        <w:ind w:left="-142"/>
        <w:rPr>
          <w:sz w:val="24"/>
        </w:rPr>
      </w:pPr>
    </w:p>
    <w:sectPr w:rsidR="006A0A6F" w:rsidRPr="00C971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EB5FAC"/>
    <w:multiLevelType w:val="hybridMultilevel"/>
    <w:tmpl w:val="37F4EA2C"/>
    <w:lvl w:ilvl="0" w:tplc="58646590">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B2700DC8">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3AAB93A">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872262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902EA050">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A8C0560E">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E2545B98">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F90298C">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5DB6828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5D05A24"/>
    <w:multiLevelType w:val="hybridMultilevel"/>
    <w:tmpl w:val="A28C718A"/>
    <w:lvl w:ilvl="0" w:tplc="39B4FAAA">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F7586B80">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8A44F944">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1CE54A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CAAE998">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2E2E1CC4">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D5549042">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06E87B4">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CACB2A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num w:numId="1" w16cid:durableId="300770941">
    <w:abstractNumId w:val="0"/>
  </w:num>
  <w:num w:numId="2" w16cid:durableId="10767117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20"/>
    <w:rsid w:val="005A3C40"/>
    <w:rsid w:val="005C1698"/>
    <w:rsid w:val="005E4D8F"/>
    <w:rsid w:val="006A0A6F"/>
    <w:rsid w:val="00720B78"/>
    <w:rsid w:val="008E3C1C"/>
    <w:rsid w:val="00BC71FB"/>
    <w:rsid w:val="00C51518"/>
    <w:rsid w:val="00C971D9"/>
    <w:rsid w:val="00F91520"/>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3B04"/>
  <w15:docId w15:val="{99846354-CEDD-BF4C-B454-4B8C3EBC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8" w:line="259" w:lineRule="auto"/>
      <w:ind w:left="2510"/>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E4D8F"/>
    <w:rPr>
      <w:color w:val="467886" w:themeColor="hyperlink"/>
      <w:u w:val="single"/>
    </w:rPr>
  </w:style>
  <w:style w:type="character" w:styleId="UnresolvedMention">
    <w:name w:val="Unresolved Mention"/>
    <w:basedOn w:val="DefaultParagraphFont"/>
    <w:uiPriority w:val="99"/>
    <w:semiHidden/>
    <w:unhideWhenUsed/>
    <w:rsid w:val="005E4D8F"/>
    <w:rPr>
      <w:color w:val="605E5C"/>
      <w:shd w:val="clear" w:color="auto" w:fill="E1DFDD"/>
    </w:rPr>
  </w:style>
  <w:style w:type="paragraph" w:styleId="NormalWeb">
    <w:name w:val="Normal (Web)"/>
    <w:basedOn w:val="Normal"/>
    <w:uiPriority w:val="99"/>
    <w:unhideWhenUsed/>
    <w:rsid w:val="005E4D8F"/>
    <w:pPr>
      <w:spacing w:before="100" w:beforeAutospacing="1" w:after="100" w:afterAutospacing="1" w:line="240" w:lineRule="auto"/>
      <w:ind w:left="0"/>
    </w:pPr>
    <w:rPr>
      <w:b w:val="0"/>
      <w:color w:val="auto"/>
      <w:kern w:val="0"/>
      <w:sz w:val="24"/>
      <w14:ligatures w14:val="none"/>
    </w:rPr>
  </w:style>
  <w:style w:type="table" w:styleId="TableGrid0">
    <w:name w:val="Table Grid"/>
    <w:basedOn w:val="TableNormal"/>
    <w:uiPriority w:val="39"/>
    <w:rsid w:val="005C1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Liqi Ren, Ph.D.</dc:creator>
  <cp:keywords/>
  <cp:lastModifiedBy>Shuran Li</cp:lastModifiedBy>
  <cp:revision>7</cp:revision>
  <dcterms:created xsi:type="dcterms:W3CDTF">2026-09-02T07:03:00Z</dcterms:created>
  <dcterms:modified xsi:type="dcterms:W3CDTF">2026-09-02T07:38:00Z</dcterms:modified>
</cp:coreProperties>
</file>